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BB94C" w14:textId="28ECF8F2" w:rsidR="00EA1C22" w:rsidRPr="00EA1C22" w:rsidRDefault="00EA1C22" w:rsidP="00EA1C22">
      <w:pPr>
        <w:spacing w:beforeLines="60" w:before="144" w:afterLines="60" w:after="144" w:line="240" w:lineRule="auto"/>
        <w:jc w:val="both"/>
        <w:rPr>
          <w:rFonts w:ascii="Times New Roman" w:eastAsia="Times New Roman" w:hAnsi="Times New Roman" w:cs="Times New Roman"/>
          <w:b/>
          <w:bCs/>
          <w:sz w:val="20"/>
          <w:szCs w:val="20"/>
        </w:rPr>
      </w:pPr>
      <w:r w:rsidRPr="00EA1C22">
        <w:rPr>
          <w:rFonts w:ascii="Times New Roman" w:eastAsia="Times New Roman" w:hAnsi="Times New Roman" w:cs="Times New Roman"/>
          <w:b/>
          <w:bCs/>
          <w:sz w:val="20"/>
          <w:szCs w:val="20"/>
        </w:rPr>
        <w:t xml:space="preserve">Stan na dzień sporządzenia prospektu informacyjnego </w:t>
      </w:r>
      <w:r w:rsidR="00500F60">
        <w:rPr>
          <w:rFonts w:ascii="Times New Roman" w:eastAsia="Times New Roman" w:hAnsi="Times New Roman" w:cs="Times New Roman"/>
          <w:b/>
          <w:bCs/>
          <w:sz w:val="20"/>
          <w:szCs w:val="20"/>
        </w:rPr>
        <w:t xml:space="preserve">                                                        </w:t>
      </w:r>
      <w:r w:rsidR="00DE55D2">
        <w:rPr>
          <w:rFonts w:ascii="Times New Roman" w:eastAsia="Times New Roman" w:hAnsi="Times New Roman" w:cs="Times New Roman"/>
          <w:b/>
          <w:bCs/>
          <w:sz w:val="20"/>
          <w:szCs w:val="20"/>
        </w:rPr>
        <w:t>29</w:t>
      </w:r>
      <w:r w:rsidR="00500F60">
        <w:rPr>
          <w:rFonts w:ascii="Times New Roman" w:eastAsia="Times New Roman" w:hAnsi="Times New Roman" w:cs="Times New Roman"/>
          <w:b/>
          <w:bCs/>
          <w:sz w:val="20"/>
          <w:szCs w:val="20"/>
        </w:rPr>
        <w:t>.1</w:t>
      </w:r>
      <w:r w:rsidR="00DE55D2">
        <w:rPr>
          <w:rFonts w:ascii="Times New Roman" w:eastAsia="Times New Roman" w:hAnsi="Times New Roman" w:cs="Times New Roman"/>
          <w:b/>
          <w:bCs/>
          <w:sz w:val="20"/>
          <w:szCs w:val="20"/>
        </w:rPr>
        <w:t>2</w:t>
      </w:r>
      <w:r w:rsidR="00500F60">
        <w:rPr>
          <w:rFonts w:ascii="Times New Roman" w:eastAsia="Times New Roman" w:hAnsi="Times New Roman" w:cs="Times New Roman"/>
          <w:b/>
          <w:bCs/>
          <w:sz w:val="20"/>
          <w:szCs w:val="20"/>
        </w:rPr>
        <w:t>.2025</w:t>
      </w:r>
    </w:p>
    <w:p w14:paraId="18C15724" w14:textId="1778E89A" w:rsidR="00EA1C22" w:rsidRPr="00D3685B" w:rsidRDefault="00EA1C22" w:rsidP="00500F60">
      <w:pPr>
        <w:spacing w:before="100" w:beforeAutospacing="1" w:afterLines="350" w:after="840" w:line="240" w:lineRule="auto"/>
        <w:contextualSpacing/>
        <w:rPr>
          <w:rFonts w:ascii="Times New Roman" w:eastAsia="Times New Roman" w:hAnsi="Times New Roman" w:cs="Times New Roman"/>
          <w:bCs/>
          <w:sz w:val="12"/>
          <w:szCs w:val="8"/>
          <w:lang w:eastAsia="pl-PL"/>
        </w:rPr>
      </w:pPr>
    </w:p>
    <w:p w14:paraId="4C38B92C" w14:textId="77777777" w:rsidR="00EA1C22" w:rsidRPr="00EA1C22" w:rsidRDefault="00EA1C22" w:rsidP="00EA1C22">
      <w:pPr>
        <w:spacing w:before="60" w:after="60" w:line="240" w:lineRule="auto"/>
        <w:jc w:val="center"/>
        <w:outlineLvl w:val="0"/>
        <w:rPr>
          <w:rFonts w:ascii="Times New Roman" w:eastAsia="Calibri" w:hAnsi="Times New Roman" w:cs="Times New Roman"/>
          <w:b/>
          <w:sz w:val="20"/>
          <w:szCs w:val="20"/>
        </w:rPr>
      </w:pPr>
    </w:p>
    <w:p w14:paraId="167C632B" w14:textId="16C18167" w:rsidR="00EA1C22" w:rsidRDefault="00EA1C22" w:rsidP="00D3685B">
      <w:pPr>
        <w:spacing w:beforeLines="60" w:before="144" w:afterLines="60" w:after="144" w:line="240" w:lineRule="auto"/>
        <w:jc w:val="center"/>
        <w:outlineLvl w:val="0"/>
        <w:rPr>
          <w:rFonts w:ascii="Times New Roman" w:eastAsia="Calibri" w:hAnsi="Times New Roman" w:cs="Times New Roman"/>
          <w:b/>
          <w:sz w:val="20"/>
          <w:szCs w:val="20"/>
        </w:rPr>
      </w:pPr>
      <w:r w:rsidRPr="00EA1C22">
        <w:rPr>
          <w:rFonts w:ascii="Times New Roman" w:eastAsia="Calibri" w:hAnsi="Times New Roman" w:cs="Times New Roman"/>
          <w:b/>
          <w:sz w:val="20"/>
          <w:szCs w:val="20"/>
        </w:rPr>
        <w:t xml:space="preserve">PROSPEKT INFORMACYJNY </w:t>
      </w:r>
    </w:p>
    <w:p w14:paraId="188E1241" w14:textId="77777777" w:rsidR="00EB3429" w:rsidRPr="00EA1C22" w:rsidRDefault="00EB3429" w:rsidP="00D3685B">
      <w:pPr>
        <w:spacing w:beforeLines="60" w:before="144" w:afterLines="60" w:after="144" w:line="240" w:lineRule="auto"/>
        <w:jc w:val="center"/>
        <w:outlineLvl w:val="0"/>
        <w:rPr>
          <w:rFonts w:ascii="Times New Roman" w:eastAsia="Calibri" w:hAnsi="Times New Roman" w:cs="Times New Roman"/>
          <w:b/>
          <w:sz w:val="20"/>
          <w:szCs w:val="20"/>
        </w:rPr>
      </w:pPr>
    </w:p>
    <w:p w14:paraId="24BC204E" w14:textId="63DBB0E6" w:rsidR="00EA1C22" w:rsidRPr="00EA1C22" w:rsidRDefault="00EA1C22" w:rsidP="00D3685B">
      <w:pPr>
        <w:spacing w:beforeLines="60" w:before="144" w:afterLines="60" w:after="144" w:line="240" w:lineRule="auto"/>
        <w:outlineLvl w:val="0"/>
        <w:rPr>
          <w:rFonts w:ascii="Times New Roman" w:eastAsia="Calibri" w:hAnsi="Times New Roman" w:cs="Times New Roman"/>
          <w:b/>
          <w:sz w:val="20"/>
          <w:szCs w:val="20"/>
        </w:rPr>
      </w:pPr>
      <w:r w:rsidRPr="00EA1C22">
        <w:rPr>
          <w:rFonts w:ascii="Times New Roman" w:eastAsia="Calibri" w:hAnsi="Times New Roman" w:cs="Times New Roman"/>
          <w:b/>
          <w:sz w:val="20"/>
          <w:szCs w:val="20"/>
        </w:rPr>
        <w:t>CZĘŚĆ OGÓLNA</w:t>
      </w:r>
    </w:p>
    <w:p w14:paraId="60301172" w14:textId="77777777" w:rsidR="00EA1C22" w:rsidRPr="00EA1C22" w:rsidRDefault="00EA1C22" w:rsidP="00920895">
      <w:pPr>
        <w:widowControl w:val="0"/>
        <w:numPr>
          <w:ilvl w:val="0"/>
          <w:numId w:val="1"/>
        </w:numPr>
        <w:autoSpaceDE w:val="0"/>
        <w:autoSpaceDN w:val="0"/>
        <w:adjustRightInd w:val="0"/>
        <w:spacing w:after="100" w:afterAutospacing="1" w:line="240" w:lineRule="auto"/>
        <w:ind w:left="1077"/>
        <w:jc w:val="both"/>
        <w:rPr>
          <w:rFonts w:ascii="Times New Roman" w:eastAsia="Times New Roman" w:hAnsi="Times New Roman" w:cs="Times New Roman"/>
          <w:b/>
          <w:bCs/>
          <w:sz w:val="20"/>
          <w:szCs w:val="20"/>
        </w:rPr>
      </w:pPr>
      <w:r w:rsidRPr="00EA1C22">
        <w:rPr>
          <w:rFonts w:ascii="Times New Roman" w:eastAsia="Times New Roman" w:hAnsi="Times New Roman" w:cs="Times New Roman"/>
          <w:b/>
          <w:bCs/>
          <w:sz w:val="20"/>
          <w:szCs w:val="20"/>
        </w:rPr>
        <w:t>DANE IDENTYFIKACYJNE I KONTAKTOWE DOTYCZĄCE DEWELOPERA</w:t>
      </w:r>
    </w:p>
    <w:tbl>
      <w:tblPr>
        <w:tblpPr w:leftFromText="141" w:rightFromText="141" w:vertAnchor="text" w:horzAnchor="margin" w:tblpY="50"/>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539"/>
        <w:gridCol w:w="3420"/>
      </w:tblGrid>
      <w:tr w:rsidR="00EA1C22" w:rsidRPr="00EA1C22" w14:paraId="76C8D390" w14:textId="77777777" w:rsidTr="002568E5">
        <w:tc>
          <w:tcPr>
            <w:tcW w:w="9648" w:type="dxa"/>
            <w:gridSpan w:val="3"/>
            <w:tcBorders>
              <w:bottom w:val="single" w:sz="4" w:space="0" w:color="auto"/>
            </w:tcBorders>
            <w:shd w:val="clear" w:color="auto" w:fill="E0E0E0"/>
          </w:tcPr>
          <w:p w14:paraId="2F1A3CB3"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bCs/>
                <w:sz w:val="20"/>
                <w:szCs w:val="20"/>
              </w:rPr>
            </w:pPr>
            <w:r w:rsidRPr="00EA1C22">
              <w:rPr>
                <w:rFonts w:ascii="Times New Roman" w:eastAsia="Times New Roman" w:hAnsi="Times New Roman" w:cs="Times New Roman"/>
                <w:b/>
                <w:bCs/>
                <w:sz w:val="20"/>
                <w:szCs w:val="20"/>
              </w:rPr>
              <w:t>DANE DEWELOPERA</w:t>
            </w:r>
          </w:p>
          <w:p w14:paraId="1C97634A"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bCs/>
                <w:sz w:val="20"/>
                <w:szCs w:val="20"/>
              </w:rPr>
            </w:pPr>
          </w:p>
        </w:tc>
      </w:tr>
      <w:tr w:rsidR="00EA1C22" w:rsidRPr="00EA1C22" w14:paraId="4F6FE38A" w14:textId="77777777" w:rsidTr="00F36B89">
        <w:trPr>
          <w:trHeight w:val="375"/>
        </w:trPr>
        <w:tc>
          <w:tcPr>
            <w:tcW w:w="2689" w:type="dxa"/>
            <w:shd w:val="clear" w:color="auto" w:fill="F3F3F3"/>
          </w:tcPr>
          <w:p w14:paraId="116938AC"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Deweloper</w:t>
            </w:r>
          </w:p>
        </w:tc>
        <w:tc>
          <w:tcPr>
            <w:tcW w:w="6959" w:type="dxa"/>
            <w:gridSpan w:val="2"/>
          </w:tcPr>
          <w:p w14:paraId="0CAFCD9E" w14:textId="1151C98B" w:rsidR="00EA1C22" w:rsidRPr="00EA1C22" w:rsidRDefault="00500F60" w:rsidP="00500F60">
            <w:pPr>
              <w:spacing w:beforeLines="60" w:before="144" w:afterLines="60" w:after="144"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Verso Plus spółka z o.o. </w:t>
            </w:r>
            <w:r w:rsidR="00EA1C22" w:rsidRPr="00EA1C22">
              <w:rPr>
                <w:rFonts w:ascii="Times New Roman" w:eastAsia="Times New Roman" w:hAnsi="Times New Roman" w:cs="Times New Roman"/>
                <w:sz w:val="20"/>
                <w:szCs w:val="20"/>
              </w:rPr>
              <w:br/>
            </w:r>
          </w:p>
        </w:tc>
      </w:tr>
      <w:tr w:rsidR="00EA1C22" w:rsidRPr="00EA1C22" w14:paraId="7E5AD52B" w14:textId="77777777" w:rsidTr="00F36B89">
        <w:trPr>
          <w:trHeight w:val="1327"/>
        </w:trPr>
        <w:tc>
          <w:tcPr>
            <w:tcW w:w="2689" w:type="dxa"/>
            <w:shd w:val="clear" w:color="auto" w:fill="F3F3F3"/>
          </w:tcPr>
          <w:p w14:paraId="1279075E"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Adres </w:t>
            </w:r>
          </w:p>
        </w:tc>
        <w:tc>
          <w:tcPr>
            <w:tcW w:w="6959" w:type="dxa"/>
            <w:gridSpan w:val="2"/>
          </w:tcPr>
          <w:p w14:paraId="02A7E723" w14:textId="0D93016D" w:rsidR="00EA1C22" w:rsidRPr="00EA1C22" w:rsidRDefault="00500F60" w:rsidP="00500F60">
            <w:pPr>
              <w:spacing w:beforeLines="60" w:before="144" w:afterLines="60" w:after="144"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Wólka Starzyńska 15        42-445 Szczekociny</w:t>
            </w:r>
          </w:p>
        </w:tc>
      </w:tr>
      <w:tr w:rsidR="00EA1C22" w:rsidRPr="00EA1C22" w14:paraId="275B7286" w14:textId="77777777" w:rsidTr="00F36B89">
        <w:trPr>
          <w:trHeight w:val="188"/>
        </w:trPr>
        <w:tc>
          <w:tcPr>
            <w:tcW w:w="2689" w:type="dxa"/>
            <w:shd w:val="clear" w:color="auto" w:fill="F3F3F3"/>
          </w:tcPr>
          <w:p w14:paraId="7DB0E04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Numer NIP REGON</w:t>
            </w:r>
          </w:p>
        </w:tc>
        <w:tc>
          <w:tcPr>
            <w:tcW w:w="3539" w:type="dxa"/>
          </w:tcPr>
          <w:p w14:paraId="059A3A0D" w14:textId="68C2C16B"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NIP</w:t>
            </w:r>
            <w:r w:rsidR="00500F60">
              <w:rPr>
                <w:rFonts w:ascii="Times New Roman" w:eastAsia="Times New Roman" w:hAnsi="Times New Roman" w:cs="Times New Roman"/>
                <w:sz w:val="20"/>
                <w:szCs w:val="20"/>
              </w:rPr>
              <w:t xml:space="preserve">   9492207963</w:t>
            </w:r>
          </w:p>
        </w:tc>
        <w:tc>
          <w:tcPr>
            <w:tcW w:w="3420" w:type="dxa"/>
          </w:tcPr>
          <w:p w14:paraId="08B1C83D" w14:textId="451003FB"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REGON</w:t>
            </w:r>
            <w:r w:rsidR="00500F60">
              <w:rPr>
                <w:rFonts w:ascii="Times New Roman" w:eastAsia="Times New Roman" w:hAnsi="Times New Roman" w:cs="Times New Roman"/>
                <w:sz w:val="20"/>
                <w:szCs w:val="20"/>
              </w:rPr>
              <w:t xml:space="preserve">  364449904</w:t>
            </w:r>
          </w:p>
        </w:tc>
      </w:tr>
      <w:tr w:rsidR="00EA1C22" w:rsidRPr="00EA1C22" w14:paraId="2CDC3E73" w14:textId="77777777" w:rsidTr="00F36B89">
        <w:tc>
          <w:tcPr>
            <w:tcW w:w="2689" w:type="dxa"/>
            <w:shd w:val="clear" w:color="auto" w:fill="F3F3F3"/>
          </w:tcPr>
          <w:p w14:paraId="7A455884"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Numer telefonu</w:t>
            </w:r>
          </w:p>
        </w:tc>
        <w:tc>
          <w:tcPr>
            <w:tcW w:w="6959" w:type="dxa"/>
            <w:gridSpan w:val="2"/>
          </w:tcPr>
          <w:p w14:paraId="5161B7FD" w14:textId="5B08255A" w:rsidR="00EA1C22" w:rsidRPr="00EA1C22" w:rsidRDefault="00181C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577037484</w:t>
            </w:r>
          </w:p>
        </w:tc>
      </w:tr>
      <w:tr w:rsidR="00EA1C22" w:rsidRPr="00EA1C22" w14:paraId="728F3489" w14:textId="77777777" w:rsidTr="00F36B89">
        <w:trPr>
          <w:trHeight w:val="272"/>
        </w:trPr>
        <w:tc>
          <w:tcPr>
            <w:tcW w:w="2689" w:type="dxa"/>
            <w:shd w:val="clear" w:color="auto" w:fill="F3F3F3"/>
          </w:tcPr>
          <w:p w14:paraId="18549DF1"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Adres poczty elektronicznej</w:t>
            </w:r>
          </w:p>
        </w:tc>
        <w:tc>
          <w:tcPr>
            <w:tcW w:w="6959" w:type="dxa"/>
            <w:gridSpan w:val="2"/>
          </w:tcPr>
          <w:p w14:paraId="013BEA11" w14:textId="383F1397"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versoplus@o2.pl</w:t>
            </w:r>
          </w:p>
        </w:tc>
      </w:tr>
      <w:tr w:rsidR="00EA1C22" w:rsidRPr="00EA1C22" w14:paraId="2F7BB469" w14:textId="77777777" w:rsidTr="00F36B89">
        <w:tc>
          <w:tcPr>
            <w:tcW w:w="2689" w:type="dxa"/>
            <w:shd w:val="clear" w:color="auto" w:fill="F3F3F3"/>
          </w:tcPr>
          <w:p w14:paraId="7ADF6BF8" w14:textId="056E3702"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Numer </w:t>
            </w:r>
            <w:r w:rsidR="00500F60">
              <w:rPr>
                <w:rFonts w:ascii="Times New Roman" w:eastAsia="Times New Roman" w:hAnsi="Times New Roman" w:cs="Times New Roman"/>
                <w:sz w:val="20"/>
                <w:szCs w:val="20"/>
              </w:rPr>
              <w:t>KRS</w:t>
            </w:r>
          </w:p>
        </w:tc>
        <w:tc>
          <w:tcPr>
            <w:tcW w:w="6959" w:type="dxa"/>
            <w:gridSpan w:val="2"/>
          </w:tcPr>
          <w:p w14:paraId="683E0CBE" w14:textId="7FA10BCE"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0000618462</w:t>
            </w:r>
          </w:p>
        </w:tc>
      </w:tr>
      <w:tr w:rsidR="00EA1C22" w:rsidRPr="00EA1C22" w14:paraId="546A7CEC" w14:textId="77777777" w:rsidTr="00F36B89">
        <w:trPr>
          <w:trHeight w:val="218"/>
        </w:trPr>
        <w:tc>
          <w:tcPr>
            <w:tcW w:w="2689" w:type="dxa"/>
            <w:shd w:val="clear" w:color="auto" w:fill="F3F3F3"/>
          </w:tcPr>
          <w:p w14:paraId="37C4DC63"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Adres strony internetowej dewelopera</w:t>
            </w:r>
          </w:p>
        </w:tc>
        <w:tc>
          <w:tcPr>
            <w:tcW w:w="6959" w:type="dxa"/>
            <w:gridSpan w:val="2"/>
          </w:tcPr>
          <w:p w14:paraId="16479D4E"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p>
        </w:tc>
      </w:tr>
    </w:tbl>
    <w:p w14:paraId="14473D6F" w14:textId="77777777" w:rsidR="00EA1C22" w:rsidRPr="00EA1C22" w:rsidRDefault="00EA1C22" w:rsidP="00921952">
      <w:pPr>
        <w:widowControl w:val="0"/>
        <w:numPr>
          <w:ilvl w:val="0"/>
          <w:numId w:val="1"/>
        </w:numPr>
        <w:autoSpaceDE w:val="0"/>
        <w:autoSpaceDN w:val="0"/>
        <w:adjustRightInd w:val="0"/>
        <w:spacing w:before="240" w:after="100" w:afterAutospacing="1" w:line="240" w:lineRule="auto"/>
        <w:ind w:left="1077"/>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DOŚWIADCZENIE DEWELOPERA</w:t>
      </w:r>
    </w:p>
    <w:tbl>
      <w:tblPr>
        <w:tblpPr w:leftFromText="141" w:rightFromText="141" w:vertAnchor="text" w:horzAnchor="margin" w:tblpY="55"/>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48"/>
      </w:tblGrid>
      <w:tr w:rsidR="00EA1C22" w:rsidRPr="00EA1C22" w14:paraId="55CB3742" w14:textId="77777777" w:rsidTr="002568E5">
        <w:trPr>
          <w:trHeight w:val="704"/>
        </w:trPr>
        <w:tc>
          <w:tcPr>
            <w:tcW w:w="9648" w:type="dxa"/>
            <w:tcBorders>
              <w:bottom w:val="single" w:sz="4" w:space="0" w:color="auto"/>
            </w:tcBorders>
            <w:shd w:val="clear" w:color="auto" w:fill="E0E0E0"/>
          </w:tcPr>
          <w:p w14:paraId="0C0C7AA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HISTORIA I UDOKUMENTOWANE</w:t>
            </w:r>
            <w:r w:rsidR="00920895">
              <w:rPr>
                <w:rFonts w:ascii="Times New Roman" w:eastAsia="Times New Roman" w:hAnsi="Times New Roman" w:cs="Times New Roman"/>
                <w:b/>
                <w:sz w:val="20"/>
                <w:szCs w:val="20"/>
              </w:rPr>
              <w:t xml:space="preserve"> </w:t>
            </w:r>
            <w:r w:rsidRPr="00EA1C22">
              <w:rPr>
                <w:rFonts w:ascii="Times New Roman" w:eastAsia="Times New Roman" w:hAnsi="Times New Roman" w:cs="Times New Roman"/>
                <w:b/>
                <w:sz w:val="20"/>
                <w:szCs w:val="20"/>
              </w:rPr>
              <w:t>DOŚWIADCZENIE DEWELOPERA</w:t>
            </w:r>
          </w:p>
        </w:tc>
      </w:tr>
    </w:tbl>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6959"/>
      </w:tblGrid>
      <w:tr w:rsidR="00EA1C22" w:rsidRPr="00EA1C22" w14:paraId="3F0DA274" w14:textId="77777777" w:rsidTr="002568E5">
        <w:tc>
          <w:tcPr>
            <w:tcW w:w="9648" w:type="dxa"/>
            <w:gridSpan w:val="2"/>
            <w:tcBorders>
              <w:bottom w:val="single" w:sz="4" w:space="0" w:color="auto"/>
            </w:tcBorders>
            <w:shd w:val="clear" w:color="auto" w:fill="E0E0E0"/>
          </w:tcPr>
          <w:p w14:paraId="7013B4D7"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PRZYKŁAD UKOŃCZONEGO PRZEDSIĘWZIĘCIA DEWELOPERSKIEGO (należy wskazać, o ile istnieją, trzy ukończone przedsięwzięcia deweloperskie, w</w:t>
            </w:r>
            <w:r w:rsidR="00920895">
              <w:rPr>
                <w:rFonts w:ascii="Times New Roman" w:eastAsia="Times New Roman" w:hAnsi="Times New Roman" w:cs="Times New Roman"/>
                <w:b/>
                <w:sz w:val="20"/>
                <w:szCs w:val="20"/>
              </w:rPr>
              <w:t xml:space="preserve"> </w:t>
            </w:r>
            <w:r w:rsidRPr="00EA1C22">
              <w:rPr>
                <w:rFonts w:ascii="Times New Roman" w:eastAsia="Times New Roman" w:hAnsi="Times New Roman" w:cs="Times New Roman"/>
                <w:b/>
                <w:sz w:val="20"/>
                <w:szCs w:val="20"/>
              </w:rPr>
              <w:t>tym</w:t>
            </w:r>
            <w:r w:rsidR="00920895">
              <w:rPr>
                <w:rFonts w:ascii="Times New Roman" w:eastAsia="Times New Roman" w:hAnsi="Times New Roman" w:cs="Times New Roman"/>
                <w:b/>
                <w:sz w:val="20"/>
                <w:szCs w:val="20"/>
              </w:rPr>
              <w:t xml:space="preserve"> </w:t>
            </w:r>
            <w:r w:rsidRPr="00EA1C22">
              <w:rPr>
                <w:rFonts w:ascii="Times New Roman" w:eastAsia="Times New Roman" w:hAnsi="Times New Roman" w:cs="Times New Roman"/>
                <w:b/>
                <w:sz w:val="20"/>
                <w:szCs w:val="20"/>
              </w:rPr>
              <w:t>ostatnie)</w:t>
            </w:r>
          </w:p>
        </w:tc>
      </w:tr>
      <w:tr w:rsidR="00EA1C22" w:rsidRPr="00EA1C22" w14:paraId="39641BA9" w14:textId="77777777" w:rsidTr="00F36B89">
        <w:trPr>
          <w:trHeight w:val="135"/>
        </w:trPr>
        <w:tc>
          <w:tcPr>
            <w:tcW w:w="2689" w:type="dxa"/>
            <w:shd w:val="clear" w:color="auto" w:fill="F3F3F3"/>
          </w:tcPr>
          <w:p w14:paraId="091E09D8"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Adres </w:t>
            </w:r>
          </w:p>
        </w:tc>
        <w:tc>
          <w:tcPr>
            <w:tcW w:w="6959" w:type="dxa"/>
          </w:tcPr>
          <w:p w14:paraId="606C64CE" w14:textId="603E0244"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Ul.</w:t>
            </w:r>
            <w:r w:rsidR="005C4D9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Palmowa 524/2 Wierzchowisko Gmina Mykanów </w:t>
            </w:r>
            <w:r w:rsidR="00B5282F">
              <w:rPr>
                <w:rFonts w:ascii="Times New Roman" w:eastAsia="Times New Roman" w:hAnsi="Times New Roman" w:cs="Times New Roman"/>
                <w:sz w:val="20"/>
                <w:szCs w:val="20"/>
              </w:rPr>
              <w:t>budowa 6 budynków jednorodzinnych 4 wolno stojące i 2 w zabudowie bliźniaczej</w:t>
            </w:r>
          </w:p>
        </w:tc>
      </w:tr>
      <w:tr w:rsidR="00EA1C22" w:rsidRPr="00EA1C22" w14:paraId="413E4B88" w14:textId="77777777" w:rsidTr="00F36B89">
        <w:tc>
          <w:tcPr>
            <w:tcW w:w="2689" w:type="dxa"/>
            <w:shd w:val="clear" w:color="auto" w:fill="F3F3F3"/>
          </w:tcPr>
          <w:p w14:paraId="508600A7"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rozpoczęcia </w:t>
            </w:r>
          </w:p>
        </w:tc>
        <w:tc>
          <w:tcPr>
            <w:tcW w:w="6959" w:type="dxa"/>
          </w:tcPr>
          <w:p w14:paraId="3FD3F3D7" w14:textId="1C006CFB"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01.09.2023 r </w:t>
            </w:r>
          </w:p>
        </w:tc>
      </w:tr>
      <w:tr w:rsidR="00EA1C22" w:rsidRPr="00EA1C22" w14:paraId="2AFBF408" w14:textId="77777777" w:rsidTr="00F36B89">
        <w:tc>
          <w:tcPr>
            <w:tcW w:w="2689" w:type="dxa"/>
            <w:shd w:val="clear" w:color="auto" w:fill="F3F3F3"/>
          </w:tcPr>
          <w:p w14:paraId="0DE484BD" w14:textId="032081C0"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wydania decyzji </w:t>
            </w:r>
            <w:r w:rsidR="00F36B89">
              <w:rPr>
                <w:rFonts w:ascii="Times New Roman" w:eastAsia="Times New Roman" w:hAnsi="Times New Roman" w:cs="Times New Roman"/>
                <w:sz w:val="20"/>
                <w:szCs w:val="20"/>
              </w:rPr>
              <w:br/>
            </w:r>
            <w:r w:rsidRPr="00EA1C22">
              <w:rPr>
                <w:rFonts w:ascii="Times New Roman" w:eastAsia="Times New Roman" w:hAnsi="Times New Roman" w:cs="Times New Roman"/>
                <w:sz w:val="20"/>
                <w:szCs w:val="20"/>
              </w:rPr>
              <w:t>o pozwoleniu na użytkowanie</w:t>
            </w:r>
          </w:p>
        </w:tc>
        <w:tc>
          <w:tcPr>
            <w:tcW w:w="6959" w:type="dxa"/>
          </w:tcPr>
          <w:p w14:paraId="12C50275" w14:textId="1163E135"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15.07.2024 r</w:t>
            </w:r>
          </w:p>
        </w:tc>
      </w:tr>
      <w:tr w:rsidR="00EA1C22" w:rsidRPr="00EA1C22" w14:paraId="3165FC3B" w14:textId="77777777" w:rsidTr="002568E5">
        <w:tc>
          <w:tcPr>
            <w:tcW w:w="9648" w:type="dxa"/>
            <w:gridSpan w:val="2"/>
            <w:tcBorders>
              <w:bottom w:val="single" w:sz="4" w:space="0" w:color="auto"/>
            </w:tcBorders>
            <w:shd w:val="clear" w:color="auto" w:fill="E0E0E0"/>
          </w:tcPr>
          <w:p w14:paraId="1BEEFE0F" w14:textId="77777777" w:rsidR="00E911E1" w:rsidRDefault="00E911E1" w:rsidP="00EA1C22">
            <w:pPr>
              <w:spacing w:beforeLines="60" w:before="144" w:afterLines="60" w:after="144" w:line="240" w:lineRule="auto"/>
              <w:jc w:val="both"/>
              <w:rPr>
                <w:rFonts w:ascii="Times New Roman" w:eastAsia="Times New Roman" w:hAnsi="Times New Roman" w:cs="Times New Roman"/>
                <w:b/>
                <w:sz w:val="20"/>
                <w:szCs w:val="20"/>
              </w:rPr>
            </w:pPr>
          </w:p>
          <w:p w14:paraId="1ECDB338" w14:textId="350F02E6"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PRZYKŁAD INNEGO UKOŃCZONEGO PRZEDSIĘWZIĘCIA DEWELOPERSKIEGO</w:t>
            </w:r>
          </w:p>
          <w:p w14:paraId="54613CCA"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p>
        </w:tc>
      </w:tr>
      <w:tr w:rsidR="00EA1C22" w:rsidRPr="00EA1C22" w14:paraId="659579BD" w14:textId="77777777" w:rsidTr="00F36B89">
        <w:trPr>
          <w:trHeight w:val="135"/>
        </w:trPr>
        <w:tc>
          <w:tcPr>
            <w:tcW w:w="2689" w:type="dxa"/>
            <w:shd w:val="clear" w:color="auto" w:fill="F3F3F3"/>
          </w:tcPr>
          <w:p w14:paraId="308A3E06"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 xml:space="preserve">Adres </w:t>
            </w:r>
          </w:p>
        </w:tc>
        <w:tc>
          <w:tcPr>
            <w:tcW w:w="6959" w:type="dxa"/>
          </w:tcPr>
          <w:p w14:paraId="427A36CF" w14:textId="61DC6C92"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Ul</w:t>
            </w:r>
            <w:r w:rsidR="005C4D9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.Palmowa 524/16 Wierzchowisko</w:t>
            </w:r>
            <w:r w:rsidR="00B5282F">
              <w:rPr>
                <w:rFonts w:ascii="Times New Roman" w:eastAsia="Times New Roman" w:hAnsi="Times New Roman" w:cs="Times New Roman"/>
                <w:sz w:val="20"/>
                <w:szCs w:val="20"/>
              </w:rPr>
              <w:t xml:space="preserve"> Gmina Mykanów budowa 3 budynków jednorodzinnych 2 w zabudowie bliźniaczej i 1 wolno stojący</w:t>
            </w:r>
          </w:p>
        </w:tc>
      </w:tr>
      <w:tr w:rsidR="00EA1C22" w:rsidRPr="00EA1C22" w14:paraId="11E8B3E0" w14:textId="77777777" w:rsidTr="00F36B89">
        <w:tc>
          <w:tcPr>
            <w:tcW w:w="2689" w:type="dxa"/>
            <w:shd w:val="clear" w:color="auto" w:fill="F3F3F3"/>
          </w:tcPr>
          <w:p w14:paraId="326C3FF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rozpoczęcia </w:t>
            </w:r>
          </w:p>
        </w:tc>
        <w:tc>
          <w:tcPr>
            <w:tcW w:w="6959" w:type="dxa"/>
          </w:tcPr>
          <w:p w14:paraId="7DDFE888" w14:textId="68982DCF"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03.10.2023 r</w:t>
            </w:r>
          </w:p>
        </w:tc>
      </w:tr>
      <w:tr w:rsidR="00EA1C22" w:rsidRPr="00EA1C22" w14:paraId="53A5576D" w14:textId="77777777" w:rsidTr="00F36B89">
        <w:tc>
          <w:tcPr>
            <w:tcW w:w="2689" w:type="dxa"/>
            <w:shd w:val="clear" w:color="auto" w:fill="F3F3F3"/>
          </w:tcPr>
          <w:p w14:paraId="274965A1" w14:textId="69FE05FC"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wydania decyzji </w:t>
            </w:r>
            <w:r w:rsidR="00F36B89">
              <w:rPr>
                <w:rFonts w:ascii="Times New Roman" w:eastAsia="Times New Roman" w:hAnsi="Times New Roman" w:cs="Times New Roman"/>
                <w:sz w:val="20"/>
                <w:szCs w:val="20"/>
              </w:rPr>
              <w:br/>
            </w:r>
            <w:r w:rsidRPr="00EA1C22">
              <w:rPr>
                <w:rFonts w:ascii="Times New Roman" w:eastAsia="Times New Roman" w:hAnsi="Times New Roman" w:cs="Times New Roman"/>
                <w:sz w:val="20"/>
                <w:szCs w:val="20"/>
              </w:rPr>
              <w:t>o pozwoleniu na użytkowanie</w:t>
            </w:r>
          </w:p>
        </w:tc>
        <w:tc>
          <w:tcPr>
            <w:tcW w:w="6959" w:type="dxa"/>
          </w:tcPr>
          <w:p w14:paraId="45CC8F61" w14:textId="5CDD4A2F"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25.11.2024 r</w:t>
            </w:r>
          </w:p>
        </w:tc>
      </w:tr>
      <w:tr w:rsidR="00EA1C22" w:rsidRPr="00EA1C22" w14:paraId="41812DA4" w14:textId="77777777" w:rsidTr="00E65EE2">
        <w:trPr>
          <w:trHeight w:val="548"/>
        </w:trPr>
        <w:tc>
          <w:tcPr>
            <w:tcW w:w="9648" w:type="dxa"/>
            <w:gridSpan w:val="2"/>
            <w:tcBorders>
              <w:bottom w:val="single" w:sz="4" w:space="0" w:color="auto"/>
            </w:tcBorders>
            <w:shd w:val="clear" w:color="auto" w:fill="E0E0E0"/>
          </w:tcPr>
          <w:p w14:paraId="3A644DF2" w14:textId="77777777" w:rsidR="00E911E1" w:rsidRDefault="00E911E1" w:rsidP="00EA1C22">
            <w:pPr>
              <w:spacing w:before="100" w:beforeAutospacing="1" w:after="100" w:afterAutospacing="1" w:line="240" w:lineRule="auto"/>
              <w:jc w:val="both"/>
              <w:rPr>
                <w:rFonts w:ascii="Times New Roman" w:eastAsia="Times New Roman" w:hAnsi="Times New Roman" w:cs="Times New Roman"/>
                <w:b/>
                <w:sz w:val="20"/>
                <w:szCs w:val="20"/>
              </w:rPr>
            </w:pPr>
          </w:p>
          <w:p w14:paraId="0917CC9D" w14:textId="5D199B36" w:rsidR="00EA1C22" w:rsidRPr="00EA1C22" w:rsidRDefault="00EA1C22" w:rsidP="00EA1C22">
            <w:pPr>
              <w:spacing w:before="100" w:beforeAutospacing="1" w:after="100" w:afterAutospacing="1"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PRZYKŁAD OSTATNIEGO UKOŃCZONEGO PRZEDSIĘWZIĘCIA DEWELOPERSKIEGO</w:t>
            </w:r>
          </w:p>
          <w:p w14:paraId="7111589B" w14:textId="77777777" w:rsidR="00EA1C22" w:rsidRPr="00EA1C22" w:rsidRDefault="00EA1C22" w:rsidP="00EA1C22">
            <w:pPr>
              <w:spacing w:before="100" w:beforeAutospacing="1" w:after="100" w:afterAutospacing="1" w:line="240" w:lineRule="auto"/>
              <w:jc w:val="both"/>
              <w:rPr>
                <w:rFonts w:ascii="Times New Roman" w:eastAsia="Times New Roman" w:hAnsi="Times New Roman" w:cs="Times New Roman"/>
                <w:b/>
                <w:sz w:val="20"/>
                <w:szCs w:val="20"/>
              </w:rPr>
            </w:pPr>
          </w:p>
        </w:tc>
      </w:tr>
      <w:tr w:rsidR="00EA1C22" w:rsidRPr="00EA1C22" w14:paraId="594F06C2" w14:textId="77777777" w:rsidTr="00F36B89">
        <w:trPr>
          <w:trHeight w:val="135"/>
        </w:trPr>
        <w:tc>
          <w:tcPr>
            <w:tcW w:w="2689" w:type="dxa"/>
            <w:shd w:val="clear" w:color="auto" w:fill="F3F3F3"/>
          </w:tcPr>
          <w:p w14:paraId="13C0C5D2"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Adres </w:t>
            </w:r>
          </w:p>
        </w:tc>
        <w:tc>
          <w:tcPr>
            <w:tcW w:w="6959" w:type="dxa"/>
          </w:tcPr>
          <w:p w14:paraId="6571C993" w14:textId="67707F9C"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Ul.</w:t>
            </w:r>
            <w:r w:rsidR="005C4D9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Palmowa 524/</w:t>
            </w:r>
            <w:r w:rsidR="00B5282F">
              <w:rPr>
                <w:rFonts w:ascii="Times New Roman" w:eastAsia="Times New Roman" w:hAnsi="Times New Roman" w:cs="Times New Roman"/>
                <w:sz w:val="20"/>
                <w:szCs w:val="20"/>
              </w:rPr>
              <w:t>21 Wierzchowisko Gmina Mykanów budowa 2 budynków jednorodzinnych wolno stojących</w:t>
            </w:r>
          </w:p>
        </w:tc>
      </w:tr>
      <w:tr w:rsidR="00EA1C22" w:rsidRPr="00EA1C22" w14:paraId="7D1222CF" w14:textId="77777777" w:rsidTr="00F36B89">
        <w:tc>
          <w:tcPr>
            <w:tcW w:w="2689" w:type="dxa"/>
            <w:shd w:val="clear" w:color="auto" w:fill="F3F3F3"/>
          </w:tcPr>
          <w:p w14:paraId="47C33211"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rozpoczęcia </w:t>
            </w:r>
          </w:p>
        </w:tc>
        <w:tc>
          <w:tcPr>
            <w:tcW w:w="6959" w:type="dxa"/>
          </w:tcPr>
          <w:p w14:paraId="26649E1A" w14:textId="3CC14BB5"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07.03.2024 r</w:t>
            </w:r>
          </w:p>
        </w:tc>
      </w:tr>
      <w:tr w:rsidR="00EA1C22" w:rsidRPr="00EA1C22" w14:paraId="2F008735" w14:textId="77777777" w:rsidTr="00F36B89">
        <w:tc>
          <w:tcPr>
            <w:tcW w:w="2689" w:type="dxa"/>
            <w:shd w:val="clear" w:color="auto" w:fill="F3F3F3"/>
          </w:tcPr>
          <w:p w14:paraId="3BCE5776" w14:textId="51387E92"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wydania decyzji </w:t>
            </w:r>
            <w:r w:rsidR="00F36B89">
              <w:rPr>
                <w:rFonts w:ascii="Times New Roman" w:eastAsia="Times New Roman" w:hAnsi="Times New Roman" w:cs="Times New Roman"/>
                <w:sz w:val="20"/>
                <w:szCs w:val="20"/>
              </w:rPr>
              <w:br/>
            </w:r>
            <w:r w:rsidRPr="00EA1C22">
              <w:rPr>
                <w:rFonts w:ascii="Times New Roman" w:eastAsia="Times New Roman" w:hAnsi="Times New Roman" w:cs="Times New Roman"/>
                <w:sz w:val="20"/>
                <w:szCs w:val="20"/>
              </w:rPr>
              <w:t>o pozwoleniu na użytkowanie</w:t>
            </w:r>
          </w:p>
        </w:tc>
        <w:tc>
          <w:tcPr>
            <w:tcW w:w="6959" w:type="dxa"/>
          </w:tcPr>
          <w:p w14:paraId="75FE11DF" w14:textId="6865ADBE"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29.04.2025 r</w:t>
            </w:r>
          </w:p>
        </w:tc>
      </w:tr>
    </w:tbl>
    <w:p w14:paraId="424FC502"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bCs/>
          <w:sz w:val="16"/>
          <w:szCs w:val="20"/>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6959"/>
      </w:tblGrid>
      <w:tr w:rsidR="00EA1C22" w:rsidRPr="00EA1C22" w14:paraId="26CFBBD7" w14:textId="77777777" w:rsidTr="00F36B89">
        <w:tc>
          <w:tcPr>
            <w:tcW w:w="2689" w:type="dxa"/>
            <w:shd w:val="clear" w:color="auto" w:fill="F3F3F3"/>
          </w:tcPr>
          <w:p w14:paraId="0945C5E1" w14:textId="77777777" w:rsidR="00EA1C22" w:rsidRPr="00EA1C22" w:rsidRDefault="00EA1C22" w:rsidP="003669F6">
            <w:pPr>
              <w:spacing w:beforeLines="60" w:before="144" w:afterLines="60" w:after="144" w:line="240" w:lineRule="auto"/>
              <w:rPr>
                <w:rFonts w:ascii="Times New Roman" w:eastAsia="Times New Roman" w:hAnsi="Times New Roman" w:cs="Times New Roman"/>
                <w:b/>
                <w:sz w:val="20"/>
                <w:szCs w:val="20"/>
              </w:rPr>
            </w:pPr>
            <w:r w:rsidRPr="00EA1C22">
              <w:rPr>
                <w:rFonts w:ascii="Times New Roman" w:eastAsia="Times New Roman" w:hAnsi="Times New Roman" w:cs="Times New Roman"/>
                <w:sz w:val="20"/>
                <w:szCs w:val="20"/>
              </w:rPr>
              <w:t>Czy przeciwko deweloperowi prowadzono lub prowadzi się postępowania egzekucyjne na kwotę powyżej 100 000 zł</w:t>
            </w:r>
          </w:p>
        </w:tc>
        <w:tc>
          <w:tcPr>
            <w:tcW w:w="6959" w:type="dxa"/>
          </w:tcPr>
          <w:p w14:paraId="54C50EA5" w14:textId="19C03251" w:rsidR="00EA1C22" w:rsidRPr="00B5282F" w:rsidRDefault="00B5282F" w:rsidP="00EA1C22">
            <w:pPr>
              <w:spacing w:beforeLines="60" w:before="144" w:afterLines="60" w:after="144" w:line="240" w:lineRule="auto"/>
              <w:jc w:val="both"/>
              <w:rPr>
                <w:rFonts w:ascii="Times New Roman" w:eastAsia="Times New Roman" w:hAnsi="Times New Roman" w:cs="Times New Roman"/>
                <w:bCs/>
                <w:sz w:val="20"/>
                <w:szCs w:val="20"/>
              </w:rPr>
            </w:pPr>
            <w:r w:rsidRPr="00B5282F">
              <w:rPr>
                <w:rFonts w:ascii="Times New Roman" w:eastAsia="Times New Roman" w:hAnsi="Times New Roman" w:cs="Times New Roman"/>
                <w:bCs/>
                <w:sz w:val="20"/>
                <w:szCs w:val="20"/>
              </w:rPr>
              <w:t>NIE</w:t>
            </w:r>
          </w:p>
        </w:tc>
      </w:tr>
    </w:tbl>
    <w:p w14:paraId="2CFC10B4" w14:textId="0C536FA4" w:rsidR="00E911E1" w:rsidRDefault="00E911E1" w:rsidP="00921952">
      <w:pPr>
        <w:spacing w:beforeLines="60" w:before="144" w:after="0" w:line="240" w:lineRule="auto"/>
        <w:jc w:val="both"/>
        <w:rPr>
          <w:rFonts w:ascii="Times New Roman" w:eastAsia="Times New Roman" w:hAnsi="Times New Roman" w:cs="Times New Roman"/>
          <w:b/>
          <w:bCs/>
          <w:sz w:val="16"/>
          <w:szCs w:val="20"/>
        </w:rPr>
      </w:pPr>
    </w:p>
    <w:p w14:paraId="77EE987A" w14:textId="77777777" w:rsidR="00E911E1" w:rsidRPr="00EA1C22" w:rsidRDefault="00E911E1" w:rsidP="00921952">
      <w:pPr>
        <w:spacing w:beforeLines="60" w:before="144" w:after="0" w:line="240" w:lineRule="auto"/>
        <w:jc w:val="both"/>
        <w:rPr>
          <w:rFonts w:ascii="Times New Roman" w:eastAsia="Times New Roman" w:hAnsi="Times New Roman" w:cs="Times New Roman"/>
          <w:b/>
          <w:bCs/>
          <w:sz w:val="16"/>
          <w:szCs w:val="20"/>
        </w:rPr>
      </w:pPr>
    </w:p>
    <w:p w14:paraId="03BB328F" w14:textId="77777777" w:rsidR="00EA1C22" w:rsidRPr="00EA1C22" w:rsidRDefault="00EA1C22" w:rsidP="00921952">
      <w:pPr>
        <w:widowControl w:val="0"/>
        <w:numPr>
          <w:ilvl w:val="0"/>
          <w:numId w:val="2"/>
        </w:numPr>
        <w:autoSpaceDE w:val="0"/>
        <w:autoSpaceDN w:val="0"/>
        <w:adjustRightInd w:val="0"/>
        <w:spacing w:before="100" w:beforeAutospacing="1" w:after="120" w:line="240" w:lineRule="auto"/>
        <w:ind w:left="1077"/>
        <w:jc w:val="both"/>
        <w:rPr>
          <w:rFonts w:ascii="Times New Roman" w:eastAsia="Times New Roman" w:hAnsi="Times New Roman" w:cs="Times New Roman"/>
          <w:b/>
          <w:bCs/>
          <w:sz w:val="20"/>
          <w:szCs w:val="20"/>
        </w:rPr>
      </w:pPr>
      <w:r w:rsidRPr="00EA1C22">
        <w:rPr>
          <w:rFonts w:ascii="Times New Roman" w:eastAsia="Times New Roman" w:hAnsi="Times New Roman" w:cs="Times New Roman"/>
          <w:b/>
          <w:bCs/>
          <w:sz w:val="20"/>
          <w:szCs w:val="20"/>
        </w:rPr>
        <w:t>INFORMACJE DOTYCZĄCE NIERUCHOMOŚCI I PRZEDSIĘWZIĘCIA DEWELOPERSKIEGO</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2"/>
        <w:gridCol w:w="3544"/>
        <w:gridCol w:w="3118"/>
      </w:tblGrid>
      <w:tr w:rsidR="00EA1C22" w:rsidRPr="00EA1C22" w14:paraId="227FFF9E" w14:textId="77777777" w:rsidTr="003669F6">
        <w:tc>
          <w:tcPr>
            <w:tcW w:w="9634" w:type="dxa"/>
            <w:gridSpan w:val="3"/>
            <w:tcBorders>
              <w:bottom w:val="single" w:sz="4" w:space="0" w:color="auto"/>
            </w:tcBorders>
            <w:shd w:val="clear" w:color="auto" w:fill="E0E0E0"/>
          </w:tcPr>
          <w:p w14:paraId="3F8F4D60" w14:textId="77777777" w:rsidR="00EA1C22" w:rsidRPr="00EA1C22" w:rsidRDefault="00EA1C22" w:rsidP="00EA1C22">
            <w:pPr>
              <w:spacing w:beforeLines="60" w:before="144" w:afterLines="60" w:after="144" w:line="240" w:lineRule="auto"/>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INFORMACJE DOTYCZĄCE GRUNTU I ZAGOSPODAROWANIA PRZESTRZENNEGO TERENU</w:t>
            </w:r>
          </w:p>
          <w:p w14:paraId="779822E7"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p>
        </w:tc>
      </w:tr>
      <w:tr w:rsidR="00EA1C22" w:rsidRPr="00EA1C22" w14:paraId="2A280A60" w14:textId="77777777" w:rsidTr="00A34C14">
        <w:trPr>
          <w:trHeight w:val="135"/>
        </w:trPr>
        <w:tc>
          <w:tcPr>
            <w:tcW w:w="2972" w:type="dxa"/>
            <w:shd w:val="clear" w:color="auto" w:fill="F3F3F3"/>
          </w:tcPr>
          <w:p w14:paraId="237E0214" w14:textId="0E89376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Adres i numer działki ewidencyjnej i </w:t>
            </w:r>
            <w:r w:rsidR="00F36B89">
              <w:rPr>
                <w:rFonts w:ascii="Times New Roman" w:eastAsia="Times New Roman" w:hAnsi="Times New Roman" w:cs="Times New Roman"/>
                <w:sz w:val="20"/>
                <w:szCs w:val="20"/>
              </w:rPr>
              <w:t xml:space="preserve">numer </w:t>
            </w:r>
            <w:r w:rsidRPr="00EA1C22">
              <w:rPr>
                <w:rFonts w:ascii="Times New Roman" w:eastAsia="Times New Roman" w:hAnsi="Times New Roman" w:cs="Times New Roman"/>
                <w:sz w:val="20"/>
                <w:szCs w:val="20"/>
              </w:rPr>
              <w:t>obrębu</w:t>
            </w:r>
            <w:r w:rsidR="00F36B89">
              <w:rPr>
                <w:rFonts w:ascii="Times New Roman" w:eastAsia="Times New Roman" w:hAnsi="Times New Roman" w:cs="Times New Roman"/>
                <w:sz w:val="20"/>
                <w:szCs w:val="20"/>
              </w:rPr>
              <w:t xml:space="preserve"> ewidencyjnego</w:t>
            </w:r>
            <w:r w:rsidR="00D45FD0">
              <w:rPr>
                <w:rStyle w:val="Odwoanieprzypisudolnego"/>
                <w:rFonts w:ascii="Times New Roman" w:eastAsia="Times New Roman" w:hAnsi="Times New Roman"/>
                <w:sz w:val="20"/>
                <w:szCs w:val="20"/>
              </w:rPr>
              <w:footnoteReference w:customMarkFollows="1" w:id="1"/>
              <w:t>1)</w:t>
            </w:r>
          </w:p>
        </w:tc>
        <w:tc>
          <w:tcPr>
            <w:tcW w:w="6662" w:type="dxa"/>
            <w:gridSpan w:val="2"/>
          </w:tcPr>
          <w:p w14:paraId="34227D27" w14:textId="124B3AF1"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Ul.</w:t>
            </w:r>
            <w:r w:rsidR="005C4D9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Mała działka </w:t>
            </w:r>
            <w:r w:rsidR="00DE55D2">
              <w:rPr>
                <w:rFonts w:ascii="Times New Roman" w:eastAsia="Times New Roman" w:hAnsi="Times New Roman" w:cs="Times New Roman"/>
                <w:sz w:val="20"/>
                <w:szCs w:val="20"/>
              </w:rPr>
              <w:t>233 234 268</w:t>
            </w:r>
            <w:r>
              <w:rPr>
                <w:rFonts w:ascii="Times New Roman" w:eastAsia="Times New Roman" w:hAnsi="Times New Roman" w:cs="Times New Roman"/>
                <w:sz w:val="20"/>
                <w:szCs w:val="20"/>
              </w:rPr>
              <w:t xml:space="preserve"> Wola Kiedrzyńska – Antoniów jednostka ewidencyjna Mykanów</w:t>
            </w:r>
          </w:p>
        </w:tc>
      </w:tr>
      <w:tr w:rsidR="00EA1C22" w:rsidRPr="00EA1C22" w14:paraId="7C87C59F" w14:textId="77777777" w:rsidTr="00A34C14">
        <w:trPr>
          <w:trHeight w:val="98"/>
        </w:trPr>
        <w:tc>
          <w:tcPr>
            <w:tcW w:w="2972" w:type="dxa"/>
            <w:shd w:val="clear" w:color="auto" w:fill="F3F3F3"/>
          </w:tcPr>
          <w:p w14:paraId="5D22CA1B"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Numer księgi wieczystej </w:t>
            </w:r>
          </w:p>
        </w:tc>
        <w:tc>
          <w:tcPr>
            <w:tcW w:w="6662" w:type="dxa"/>
            <w:gridSpan w:val="2"/>
          </w:tcPr>
          <w:p w14:paraId="1AB067B8" w14:textId="1398AD14" w:rsidR="00EA1C22" w:rsidRPr="00EA1C22"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CZ1C/001</w:t>
            </w:r>
            <w:r w:rsidR="00DE55D2">
              <w:rPr>
                <w:rFonts w:ascii="Times New Roman" w:eastAsia="Times New Roman" w:hAnsi="Times New Roman" w:cs="Times New Roman"/>
                <w:sz w:val="20"/>
                <w:szCs w:val="20"/>
              </w:rPr>
              <w:t>92673</w:t>
            </w:r>
            <w:r>
              <w:rPr>
                <w:rFonts w:ascii="Times New Roman" w:eastAsia="Times New Roman" w:hAnsi="Times New Roman" w:cs="Times New Roman"/>
                <w:sz w:val="20"/>
                <w:szCs w:val="20"/>
              </w:rPr>
              <w:t>/</w:t>
            </w:r>
            <w:r w:rsidR="00DE55D2">
              <w:rPr>
                <w:rFonts w:ascii="Times New Roman" w:eastAsia="Times New Roman" w:hAnsi="Times New Roman" w:cs="Times New Roman"/>
                <w:sz w:val="20"/>
                <w:szCs w:val="20"/>
              </w:rPr>
              <w:t>2</w:t>
            </w:r>
          </w:p>
        </w:tc>
      </w:tr>
      <w:tr w:rsidR="00EA1C22" w:rsidRPr="00EA1C22" w14:paraId="43BD8919" w14:textId="77777777" w:rsidTr="00A34C14">
        <w:trPr>
          <w:trHeight w:val="98"/>
        </w:trPr>
        <w:tc>
          <w:tcPr>
            <w:tcW w:w="2972" w:type="dxa"/>
            <w:shd w:val="clear" w:color="auto" w:fill="F3F3F3"/>
          </w:tcPr>
          <w:p w14:paraId="7FB56569"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Istniejące obciążenia hipoteczne nieruchomości lub wnioski o wpis w dziale czwartym księgi wieczystej</w:t>
            </w:r>
          </w:p>
        </w:tc>
        <w:tc>
          <w:tcPr>
            <w:tcW w:w="6662" w:type="dxa"/>
            <w:gridSpan w:val="2"/>
          </w:tcPr>
          <w:p w14:paraId="6D0068B3" w14:textId="14798465"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4FEAF493" w14:textId="77777777" w:rsidTr="00A34C14">
        <w:trPr>
          <w:trHeight w:val="97"/>
        </w:trPr>
        <w:tc>
          <w:tcPr>
            <w:tcW w:w="2972" w:type="dxa"/>
            <w:shd w:val="clear" w:color="auto" w:fill="F3F3F3"/>
          </w:tcPr>
          <w:p w14:paraId="5941577A" w14:textId="05756B8B"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W przypadku braku księgi wieczystej informacja o </w:t>
            </w:r>
            <w:r w:rsidRPr="00EA1C22">
              <w:rPr>
                <w:rFonts w:ascii="Times New Roman" w:eastAsia="Times New Roman" w:hAnsi="Times New Roman" w:cs="Times New Roman"/>
                <w:sz w:val="20"/>
                <w:szCs w:val="20"/>
              </w:rPr>
              <w:lastRenderedPageBreak/>
              <w:t>powierzchni działki i stanie prawnym nieruchomości</w:t>
            </w:r>
            <w:r w:rsidR="00D45FD0">
              <w:rPr>
                <w:rStyle w:val="Odwoanieprzypisudolnego"/>
                <w:rFonts w:ascii="Times New Roman" w:eastAsia="Times New Roman" w:hAnsi="Times New Roman"/>
                <w:sz w:val="20"/>
                <w:szCs w:val="20"/>
              </w:rPr>
              <w:footnoteReference w:customMarkFollows="1" w:id="2"/>
              <w:t>2)</w:t>
            </w:r>
          </w:p>
        </w:tc>
        <w:tc>
          <w:tcPr>
            <w:tcW w:w="6662" w:type="dxa"/>
            <w:gridSpan w:val="2"/>
          </w:tcPr>
          <w:p w14:paraId="3AC5C387" w14:textId="4651F5F2"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NIE Dotyczy </w:t>
            </w:r>
          </w:p>
        </w:tc>
      </w:tr>
      <w:tr w:rsidR="00EA1C22" w:rsidRPr="00EA1C22" w14:paraId="433FA31B" w14:textId="77777777" w:rsidTr="00A34C14">
        <w:trPr>
          <w:trHeight w:val="97"/>
        </w:trPr>
        <w:tc>
          <w:tcPr>
            <w:tcW w:w="2972" w:type="dxa"/>
            <w:shd w:val="clear" w:color="auto" w:fill="F3F3F3"/>
          </w:tcPr>
          <w:p w14:paraId="64F396A2" w14:textId="3A954A62"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Informacje dotyczące obiektów istniejących położonych w sąsiedztwie inwestycji i wpływających na warunki życia</w:t>
            </w:r>
            <w:r w:rsidR="00D45FD0">
              <w:rPr>
                <w:rStyle w:val="Odwoanieprzypisudolnego"/>
                <w:rFonts w:ascii="Times New Roman" w:eastAsia="Times New Roman" w:hAnsi="Times New Roman"/>
                <w:sz w:val="20"/>
                <w:szCs w:val="20"/>
              </w:rPr>
              <w:footnoteReference w:customMarkFollows="1" w:id="3"/>
              <w:t>3)</w:t>
            </w:r>
            <w:r w:rsidRPr="00EA1C22">
              <w:rPr>
                <w:rFonts w:ascii="Times New Roman" w:eastAsia="Times New Roman" w:hAnsi="Times New Roman" w:cs="Times New Roman"/>
                <w:sz w:val="20"/>
                <w:szCs w:val="20"/>
              </w:rPr>
              <w:t xml:space="preserve"> </w:t>
            </w:r>
          </w:p>
        </w:tc>
        <w:tc>
          <w:tcPr>
            <w:tcW w:w="6662" w:type="dxa"/>
            <w:gridSpan w:val="2"/>
          </w:tcPr>
          <w:p w14:paraId="0FAE5073" w14:textId="77777777" w:rsidR="00EA1C22"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Na sąsiednich działkach budowlanych znajdują się budynki mieszkalne jednorodzinne oraz tow. Infrastruktura techniczna i urządzenia budowlane:</w:t>
            </w:r>
          </w:p>
          <w:p w14:paraId="724DC098" w14:textId="77777777" w:rsidR="00CB0C2A"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zbiorniki szczelne o poj. 10,0 m3 po jednym na każdy budynek</w:t>
            </w:r>
          </w:p>
          <w:p w14:paraId="45195A6B" w14:textId="77777777" w:rsidR="00CB0C2A"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instalacje i przyłącza energetyczne do budynków</w:t>
            </w:r>
          </w:p>
          <w:p w14:paraId="0DF1FE83" w14:textId="77777777" w:rsidR="00CB0C2A"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utwardzone dojścia i dojazd do budynków</w:t>
            </w:r>
          </w:p>
          <w:p w14:paraId="63049E74" w14:textId="580AE9A8" w:rsidR="00CB0C2A" w:rsidRPr="00EA1C22"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miejsca gromadzenia odpadów stałych</w:t>
            </w:r>
          </w:p>
        </w:tc>
      </w:tr>
      <w:tr w:rsidR="00EA1C22" w:rsidRPr="00EA1C22" w14:paraId="4CF9DA25" w14:textId="77777777" w:rsidTr="00A34C14">
        <w:trPr>
          <w:trHeight w:val="320"/>
        </w:trPr>
        <w:tc>
          <w:tcPr>
            <w:tcW w:w="2972" w:type="dxa"/>
            <w:vMerge w:val="restart"/>
            <w:shd w:val="clear" w:color="auto" w:fill="F3F3F3"/>
          </w:tcPr>
          <w:p w14:paraId="7B6120EA" w14:textId="4D6C94E3"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Akty planowania przestrzennego i inne akty prawne na terenie objętym przedsięwzięciem deweloperskim lub zadaniem inwestycyjnym</w:t>
            </w:r>
          </w:p>
          <w:p w14:paraId="5838B69B"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 xml:space="preserve"> </w:t>
            </w:r>
          </w:p>
        </w:tc>
        <w:tc>
          <w:tcPr>
            <w:tcW w:w="3544" w:type="dxa"/>
          </w:tcPr>
          <w:p w14:paraId="12C22D0E" w14:textId="596A536E" w:rsidR="00EA1C22" w:rsidRPr="00EA1C22" w:rsidRDefault="00A85871" w:rsidP="003669F6">
            <w:pPr>
              <w:spacing w:beforeLines="60" w:before="144" w:afterLines="60" w:after="144"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lang w:eastAsia="pl-PL"/>
              </w:rPr>
              <w:t>Plan ogólny gminy</w:t>
            </w:r>
          </w:p>
        </w:tc>
        <w:tc>
          <w:tcPr>
            <w:tcW w:w="3118" w:type="dxa"/>
            <w:vMerge w:val="restart"/>
          </w:tcPr>
          <w:p w14:paraId="3E473645" w14:textId="09A522F2" w:rsidR="00EA1C22" w:rsidRPr="00EA1C22" w:rsidRDefault="007D4331" w:rsidP="003669F6">
            <w:pPr>
              <w:spacing w:beforeLines="60" w:before="144" w:afterLines="60" w:after="144"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Obowiązujący miejscowy plan zagospodarowania gminy Mykanów</w:t>
            </w:r>
          </w:p>
        </w:tc>
      </w:tr>
      <w:tr w:rsidR="003669F6" w:rsidRPr="00EA1C22" w14:paraId="6DC3C373" w14:textId="77777777" w:rsidTr="00A34C14">
        <w:trPr>
          <w:trHeight w:val="317"/>
        </w:trPr>
        <w:tc>
          <w:tcPr>
            <w:tcW w:w="2972" w:type="dxa"/>
            <w:vMerge/>
            <w:shd w:val="clear" w:color="auto" w:fill="F3F3F3"/>
          </w:tcPr>
          <w:p w14:paraId="2832988E" w14:textId="77777777"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lang w:eastAsia="pl-PL"/>
              </w:rPr>
            </w:pPr>
          </w:p>
        </w:tc>
        <w:tc>
          <w:tcPr>
            <w:tcW w:w="3544" w:type="dxa"/>
          </w:tcPr>
          <w:p w14:paraId="381354A1" w14:textId="4F253E98"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Miejscowy plan zagospodarowania przestrzennego</w:t>
            </w:r>
          </w:p>
        </w:tc>
        <w:tc>
          <w:tcPr>
            <w:tcW w:w="3118" w:type="dxa"/>
            <w:vMerge/>
          </w:tcPr>
          <w:p w14:paraId="58A2848C" w14:textId="77777777" w:rsidR="003669F6" w:rsidRPr="00EA1C22" w:rsidRDefault="003669F6" w:rsidP="003669F6">
            <w:pPr>
              <w:spacing w:beforeLines="60" w:before="144" w:afterLines="60" w:after="144" w:line="240" w:lineRule="auto"/>
              <w:jc w:val="both"/>
              <w:rPr>
                <w:rFonts w:ascii="Times New Roman" w:eastAsia="Times New Roman" w:hAnsi="Times New Roman" w:cs="Times New Roman"/>
                <w:sz w:val="20"/>
                <w:szCs w:val="20"/>
              </w:rPr>
            </w:pPr>
          </w:p>
        </w:tc>
      </w:tr>
      <w:tr w:rsidR="003669F6" w:rsidRPr="00EA1C22" w14:paraId="71572F26" w14:textId="77777777" w:rsidTr="00A34C14">
        <w:trPr>
          <w:trHeight w:val="317"/>
        </w:trPr>
        <w:tc>
          <w:tcPr>
            <w:tcW w:w="2972" w:type="dxa"/>
            <w:vMerge/>
            <w:shd w:val="clear" w:color="auto" w:fill="F3F3F3"/>
          </w:tcPr>
          <w:p w14:paraId="53B3EB45" w14:textId="77777777"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lang w:eastAsia="pl-PL"/>
              </w:rPr>
            </w:pPr>
          </w:p>
        </w:tc>
        <w:tc>
          <w:tcPr>
            <w:tcW w:w="3544" w:type="dxa"/>
          </w:tcPr>
          <w:p w14:paraId="385586EA" w14:textId="5CEDB53C"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 xml:space="preserve">Miejscowy plan odbudowy </w:t>
            </w:r>
          </w:p>
        </w:tc>
        <w:tc>
          <w:tcPr>
            <w:tcW w:w="3118" w:type="dxa"/>
            <w:vMerge/>
          </w:tcPr>
          <w:p w14:paraId="44259879" w14:textId="77777777" w:rsidR="003669F6" w:rsidRPr="00EA1C22" w:rsidRDefault="003669F6" w:rsidP="003669F6">
            <w:pPr>
              <w:spacing w:beforeLines="60" w:before="144" w:afterLines="60" w:after="144" w:line="240" w:lineRule="auto"/>
              <w:jc w:val="both"/>
              <w:rPr>
                <w:rFonts w:ascii="Times New Roman" w:eastAsia="Times New Roman" w:hAnsi="Times New Roman" w:cs="Times New Roman"/>
                <w:sz w:val="20"/>
                <w:szCs w:val="20"/>
              </w:rPr>
            </w:pPr>
          </w:p>
        </w:tc>
      </w:tr>
      <w:tr w:rsidR="003669F6" w:rsidRPr="00EA1C22" w14:paraId="22E8835E" w14:textId="77777777" w:rsidTr="00A34C14">
        <w:trPr>
          <w:trHeight w:val="317"/>
        </w:trPr>
        <w:tc>
          <w:tcPr>
            <w:tcW w:w="2972" w:type="dxa"/>
            <w:vMerge/>
            <w:shd w:val="clear" w:color="auto" w:fill="F3F3F3"/>
          </w:tcPr>
          <w:p w14:paraId="38B8B2CD" w14:textId="77777777"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lang w:eastAsia="pl-PL"/>
              </w:rPr>
            </w:pPr>
          </w:p>
        </w:tc>
        <w:tc>
          <w:tcPr>
            <w:tcW w:w="3544" w:type="dxa"/>
          </w:tcPr>
          <w:p w14:paraId="20B02ED4" w14:textId="65ECC1D4"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Inne</w:t>
            </w:r>
            <w:r w:rsidR="00D45FD0">
              <w:rPr>
                <w:rStyle w:val="Odwoanieprzypisudolnego"/>
                <w:rFonts w:ascii="Times New Roman" w:eastAsia="Times New Roman" w:hAnsi="Times New Roman"/>
                <w:sz w:val="20"/>
                <w:szCs w:val="20"/>
                <w:lang w:eastAsia="pl-PL"/>
              </w:rPr>
              <w:footnoteReference w:customMarkFollows="1" w:id="4"/>
              <w:t>4)</w:t>
            </w:r>
          </w:p>
        </w:tc>
        <w:tc>
          <w:tcPr>
            <w:tcW w:w="3118" w:type="dxa"/>
            <w:vMerge/>
          </w:tcPr>
          <w:p w14:paraId="22013204" w14:textId="77777777" w:rsidR="003669F6" w:rsidRPr="00EA1C22" w:rsidRDefault="003669F6" w:rsidP="003669F6">
            <w:pPr>
              <w:spacing w:beforeLines="60" w:before="144" w:afterLines="60" w:after="144" w:line="240" w:lineRule="auto"/>
              <w:jc w:val="both"/>
              <w:rPr>
                <w:rFonts w:ascii="Times New Roman" w:eastAsia="Times New Roman" w:hAnsi="Times New Roman" w:cs="Times New Roman"/>
                <w:sz w:val="20"/>
                <w:szCs w:val="20"/>
              </w:rPr>
            </w:pPr>
          </w:p>
        </w:tc>
      </w:tr>
      <w:tr w:rsidR="00EA1C22" w:rsidRPr="00EA1C22" w14:paraId="541F252C" w14:textId="77777777" w:rsidTr="00A34C14">
        <w:trPr>
          <w:trHeight w:val="60"/>
        </w:trPr>
        <w:tc>
          <w:tcPr>
            <w:tcW w:w="2972" w:type="dxa"/>
            <w:vMerge w:val="restart"/>
            <w:shd w:val="clear" w:color="auto" w:fill="F3F3F3"/>
          </w:tcPr>
          <w:p w14:paraId="1BFC39E3"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Ustalenia obowiązującego miejscowego planu zagospodarowania przestrzennego dla terenu objętego przedsięwzięciem deweloperskim lub zadaniem inwestycyjnym</w:t>
            </w:r>
            <w:r w:rsidRPr="00EA1C22">
              <w:rPr>
                <w:rFonts w:ascii="Times New Roman" w:eastAsia="Times New Roman" w:hAnsi="Times New Roman" w:cs="Times New Roman"/>
                <w:sz w:val="20"/>
                <w:szCs w:val="20"/>
              </w:rPr>
              <w:t xml:space="preserve"> </w:t>
            </w:r>
          </w:p>
          <w:p w14:paraId="36457F00"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2325EC0F"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Przeznaczenie terenu</w:t>
            </w:r>
          </w:p>
        </w:tc>
        <w:tc>
          <w:tcPr>
            <w:tcW w:w="3118" w:type="dxa"/>
          </w:tcPr>
          <w:p w14:paraId="00DDB2C0" w14:textId="4E222263"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49.MN tereny zabudowy mieszkaniowej jednorodzinnej</w:t>
            </w:r>
          </w:p>
        </w:tc>
      </w:tr>
      <w:tr w:rsidR="00EA1C22" w:rsidRPr="00EA1C22" w14:paraId="5D978FFD" w14:textId="77777777" w:rsidTr="00A34C14">
        <w:trPr>
          <w:trHeight w:val="51"/>
        </w:trPr>
        <w:tc>
          <w:tcPr>
            <w:tcW w:w="2972" w:type="dxa"/>
            <w:vMerge/>
            <w:shd w:val="clear" w:color="auto" w:fill="F3F3F3"/>
          </w:tcPr>
          <w:p w14:paraId="49E1F661"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7CB5D408" w14:textId="44F67338"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Maksymalna intensywność zabudowy</w:t>
            </w:r>
          </w:p>
        </w:tc>
        <w:tc>
          <w:tcPr>
            <w:tcW w:w="3118" w:type="dxa"/>
          </w:tcPr>
          <w:p w14:paraId="7E87C1CC" w14:textId="77777777" w:rsid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Wskaźnik powierzchni zabudowy do 40%</w:t>
            </w:r>
          </w:p>
          <w:p w14:paraId="66942D37" w14:textId="06D1709F" w:rsidR="007D433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Wskaźnik intensywności zabudowy brak</w:t>
            </w:r>
          </w:p>
        </w:tc>
      </w:tr>
      <w:tr w:rsidR="00A85871" w:rsidRPr="00EA1C22" w14:paraId="69A72D5B" w14:textId="77777777" w:rsidTr="00A34C14">
        <w:trPr>
          <w:trHeight w:val="51"/>
        </w:trPr>
        <w:tc>
          <w:tcPr>
            <w:tcW w:w="2972" w:type="dxa"/>
            <w:vMerge/>
            <w:shd w:val="clear" w:color="auto" w:fill="F3F3F3"/>
          </w:tcPr>
          <w:p w14:paraId="724B1252" w14:textId="77777777" w:rsidR="00A85871" w:rsidRPr="00EA1C22" w:rsidRDefault="00A85871"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450AC8E7" w14:textId="232F64A5" w:rsidR="00A85871" w:rsidRPr="00EA1C22" w:rsidRDefault="00A85871" w:rsidP="00A34C14">
            <w:pPr>
              <w:spacing w:beforeLines="60" w:before="144" w:afterLines="60" w:after="144" w:line="240" w:lineRule="auto"/>
              <w:jc w:val="both"/>
              <w:rPr>
                <w:rFonts w:ascii="Times New Roman" w:eastAsia="Times New Roman" w:hAnsi="Times New Roman" w:cs="Times New Roman"/>
                <w:sz w:val="20"/>
                <w:szCs w:val="20"/>
              </w:rPr>
            </w:pPr>
            <w:r w:rsidRPr="00A85871">
              <w:rPr>
                <w:rFonts w:ascii="Times New Roman" w:eastAsia="Times New Roman" w:hAnsi="Times New Roman" w:cs="Times New Roman"/>
                <w:sz w:val="20"/>
                <w:szCs w:val="20"/>
              </w:rPr>
              <w:t>Maksymalna i minimalna nadziemna intensywność zabudowy</w:t>
            </w:r>
          </w:p>
        </w:tc>
        <w:tc>
          <w:tcPr>
            <w:tcW w:w="3118" w:type="dxa"/>
          </w:tcPr>
          <w:p w14:paraId="49CA1C29" w14:textId="584831B8" w:rsidR="00A8587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Dwie kondygnacje naziemne</w:t>
            </w:r>
          </w:p>
        </w:tc>
      </w:tr>
      <w:tr w:rsidR="00A85871" w:rsidRPr="00EA1C22" w14:paraId="617D4818" w14:textId="77777777" w:rsidTr="00A34C14">
        <w:trPr>
          <w:trHeight w:val="51"/>
        </w:trPr>
        <w:tc>
          <w:tcPr>
            <w:tcW w:w="2972" w:type="dxa"/>
            <w:vMerge/>
            <w:shd w:val="clear" w:color="auto" w:fill="F3F3F3"/>
          </w:tcPr>
          <w:p w14:paraId="4D83DB71" w14:textId="77777777" w:rsidR="00A85871" w:rsidRPr="00EA1C22" w:rsidRDefault="00A85871"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68660A8" w14:textId="369721E8" w:rsidR="00A85871" w:rsidRPr="00EA1C22" w:rsidRDefault="00A85871" w:rsidP="00A34C14">
            <w:pPr>
              <w:spacing w:beforeLines="60" w:before="144" w:afterLines="60" w:after="144" w:line="240" w:lineRule="auto"/>
              <w:jc w:val="both"/>
              <w:rPr>
                <w:rFonts w:ascii="Times New Roman" w:eastAsia="Times New Roman" w:hAnsi="Times New Roman" w:cs="Times New Roman"/>
                <w:sz w:val="20"/>
                <w:szCs w:val="20"/>
              </w:rPr>
            </w:pPr>
            <w:r w:rsidRPr="00A34C14">
              <w:rPr>
                <w:rFonts w:ascii="Times New Roman" w:eastAsia="Times New Roman" w:hAnsi="Times New Roman" w:cs="Times New Roman"/>
                <w:sz w:val="20"/>
                <w:szCs w:val="20"/>
              </w:rPr>
              <w:t>Maksymalna powierzchnia zabudowy</w:t>
            </w:r>
          </w:p>
        </w:tc>
        <w:tc>
          <w:tcPr>
            <w:tcW w:w="3118" w:type="dxa"/>
          </w:tcPr>
          <w:p w14:paraId="7C36E85E" w14:textId="24783428" w:rsidR="00A8587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rsidR="00EA1C22" w:rsidRPr="00EA1C22" w14:paraId="6FF9E1A5" w14:textId="77777777" w:rsidTr="00A34C14">
        <w:trPr>
          <w:trHeight w:val="51"/>
        </w:trPr>
        <w:tc>
          <w:tcPr>
            <w:tcW w:w="2972" w:type="dxa"/>
            <w:vMerge/>
            <w:shd w:val="clear" w:color="auto" w:fill="F3F3F3"/>
          </w:tcPr>
          <w:p w14:paraId="1A7BC42A"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19213E46"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Maksymalna wysokość zabudowy</w:t>
            </w:r>
          </w:p>
        </w:tc>
        <w:tc>
          <w:tcPr>
            <w:tcW w:w="3118" w:type="dxa"/>
          </w:tcPr>
          <w:p w14:paraId="2B5ED40E" w14:textId="74BD3FFB"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Wysokość budynków do 11,0m</w:t>
            </w:r>
          </w:p>
        </w:tc>
      </w:tr>
      <w:tr w:rsidR="00EA1C22" w:rsidRPr="00EA1C22" w14:paraId="2BFE282D" w14:textId="77777777" w:rsidTr="00A34C14">
        <w:trPr>
          <w:trHeight w:val="51"/>
        </w:trPr>
        <w:tc>
          <w:tcPr>
            <w:tcW w:w="2972" w:type="dxa"/>
            <w:vMerge/>
            <w:shd w:val="clear" w:color="auto" w:fill="F3F3F3"/>
          </w:tcPr>
          <w:p w14:paraId="6052587F"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219ED28"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Minimalny udział procentowy powierzchni biologicznie czynnej</w:t>
            </w:r>
          </w:p>
        </w:tc>
        <w:tc>
          <w:tcPr>
            <w:tcW w:w="3118" w:type="dxa"/>
          </w:tcPr>
          <w:p w14:paraId="47ABFC62" w14:textId="7842F0AF"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Min 40%</w:t>
            </w:r>
          </w:p>
        </w:tc>
      </w:tr>
      <w:tr w:rsidR="00EA1C22" w:rsidRPr="00EA1C22" w14:paraId="3D169933" w14:textId="77777777" w:rsidTr="00A34C14">
        <w:trPr>
          <w:trHeight w:val="516"/>
        </w:trPr>
        <w:tc>
          <w:tcPr>
            <w:tcW w:w="2972" w:type="dxa"/>
            <w:vMerge/>
            <w:shd w:val="clear" w:color="auto" w:fill="F3F3F3"/>
          </w:tcPr>
          <w:p w14:paraId="50580164"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B3A3843"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Minimalna liczba miejsc do parkowania</w:t>
            </w:r>
          </w:p>
        </w:tc>
        <w:tc>
          <w:tcPr>
            <w:tcW w:w="3118" w:type="dxa"/>
          </w:tcPr>
          <w:p w14:paraId="638D417F" w14:textId="348D1AB6"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Min. 2 miejsca na każdej działce</w:t>
            </w:r>
          </w:p>
        </w:tc>
      </w:tr>
      <w:tr w:rsidR="00EA1C22" w:rsidRPr="00EA1C22" w14:paraId="68EF01F2" w14:textId="77777777" w:rsidTr="00A34C14">
        <w:trPr>
          <w:trHeight w:val="51"/>
        </w:trPr>
        <w:tc>
          <w:tcPr>
            <w:tcW w:w="2972" w:type="dxa"/>
            <w:vMerge/>
            <w:shd w:val="clear" w:color="auto" w:fill="F3F3F3"/>
          </w:tcPr>
          <w:p w14:paraId="2700213B"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4B0796E5"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Warunki ochrony środowiska i zdrowia ludzi, przyrody i krajobrazu</w:t>
            </w:r>
          </w:p>
        </w:tc>
        <w:tc>
          <w:tcPr>
            <w:tcW w:w="3118" w:type="dxa"/>
          </w:tcPr>
          <w:p w14:paraId="7D34AD73" w14:textId="52233602"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EA1C22" w:rsidRPr="00EA1C22" w14:paraId="118C0D19" w14:textId="77777777" w:rsidTr="00A34C14">
        <w:trPr>
          <w:trHeight w:val="51"/>
        </w:trPr>
        <w:tc>
          <w:tcPr>
            <w:tcW w:w="2972" w:type="dxa"/>
            <w:vMerge/>
            <w:shd w:val="clear" w:color="auto" w:fill="F3F3F3"/>
          </w:tcPr>
          <w:p w14:paraId="342A93C8"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60742497"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Wymagania dotyczące zabudowy i zagospodarowania terenu położonego na obszarach szczególnego zagrożenia powodzią</w:t>
            </w:r>
          </w:p>
        </w:tc>
        <w:tc>
          <w:tcPr>
            <w:tcW w:w="3118" w:type="dxa"/>
          </w:tcPr>
          <w:p w14:paraId="62AC92E4" w14:textId="3C2FD2B6"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EA1C22" w:rsidRPr="00EA1C22" w14:paraId="75416A8D" w14:textId="77777777" w:rsidTr="00A34C14">
        <w:trPr>
          <w:trHeight w:val="51"/>
        </w:trPr>
        <w:tc>
          <w:tcPr>
            <w:tcW w:w="2972" w:type="dxa"/>
            <w:vMerge/>
            <w:shd w:val="clear" w:color="auto" w:fill="F3F3F3"/>
          </w:tcPr>
          <w:p w14:paraId="44DF2A82"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406EA06F" w14:textId="77777777" w:rsidR="00EA1C22" w:rsidRPr="00EA1C22" w:rsidRDefault="00EA1C22" w:rsidP="00A66287">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ochrony dziedzictwa kulturowego i zabytków oraz dóbr kultury współczesnej</w:t>
            </w:r>
          </w:p>
        </w:tc>
        <w:tc>
          <w:tcPr>
            <w:tcW w:w="3118" w:type="dxa"/>
          </w:tcPr>
          <w:p w14:paraId="6F0D88AE" w14:textId="621F7964"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Nie dotyczy </w:t>
            </w:r>
          </w:p>
        </w:tc>
      </w:tr>
      <w:tr w:rsidR="00EA1C22" w:rsidRPr="00EA1C22" w14:paraId="673376A8" w14:textId="77777777" w:rsidTr="00A34C14">
        <w:trPr>
          <w:trHeight w:val="51"/>
        </w:trPr>
        <w:tc>
          <w:tcPr>
            <w:tcW w:w="2972" w:type="dxa"/>
            <w:vMerge/>
            <w:shd w:val="clear" w:color="auto" w:fill="F3F3F3"/>
          </w:tcPr>
          <w:p w14:paraId="69A1A06D"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78946384" w14:textId="77777777" w:rsidR="00EA1C22" w:rsidRPr="00EA1C22" w:rsidRDefault="00EA1C22" w:rsidP="00A66287">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Wymagania dotyczące ochrony innych terenów lub obiektów podlegających ochronie na podstawie przepisów odrębnych</w:t>
            </w:r>
          </w:p>
        </w:tc>
        <w:tc>
          <w:tcPr>
            <w:tcW w:w="3118" w:type="dxa"/>
          </w:tcPr>
          <w:p w14:paraId="6FBAAAB3" w14:textId="1A3D9CAE"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EA1C22" w:rsidRPr="00EA1C22" w14:paraId="6250F284" w14:textId="77777777" w:rsidTr="00A34C14">
        <w:trPr>
          <w:trHeight w:val="51"/>
        </w:trPr>
        <w:tc>
          <w:tcPr>
            <w:tcW w:w="2972" w:type="dxa"/>
            <w:vMerge/>
            <w:shd w:val="clear" w:color="auto" w:fill="F3F3F3"/>
          </w:tcPr>
          <w:p w14:paraId="3C5BFEF2"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305063AE" w14:textId="77777777" w:rsidR="00EA1C22" w:rsidRPr="00EA1C22" w:rsidRDefault="00EA1C22" w:rsidP="00A66287">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i szczegółowe zasady obsługi w zakresie komunikacji</w:t>
            </w:r>
          </w:p>
        </w:tc>
        <w:tc>
          <w:tcPr>
            <w:tcW w:w="3118" w:type="dxa"/>
          </w:tcPr>
          <w:p w14:paraId="170CD4EB" w14:textId="72401182"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Obsługa komunikacyjna z terenów: 11</w:t>
            </w:r>
          </w:p>
        </w:tc>
      </w:tr>
      <w:tr w:rsidR="00EA1C22" w:rsidRPr="00EA1C22" w14:paraId="58E9D5F0" w14:textId="77777777" w:rsidTr="00A34C14">
        <w:trPr>
          <w:trHeight w:val="51"/>
        </w:trPr>
        <w:tc>
          <w:tcPr>
            <w:tcW w:w="2972" w:type="dxa"/>
            <w:vMerge/>
            <w:shd w:val="clear" w:color="auto" w:fill="F3F3F3"/>
          </w:tcPr>
          <w:p w14:paraId="5674A62A"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4178EE5" w14:textId="77777777" w:rsidR="00EA1C22" w:rsidRPr="00EA1C22" w:rsidRDefault="00EA1C22" w:rsidP="00A66287">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i szczegółowe zasady obsługi w zakresie infrastruktury technicznej</w:t>
            </w:r>
          </w:p>
        </w:tc>
        <w:tc>
          <w:tcPr>
            <w:tcW w:w="3118" w:type="dxa"/>
          </w:tcPr>
          <w:p w14:paraId="26D1C7C7" w14:textId="272E3891"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Obowiązuje utrzymanie istniejących obiektów infrastruktury technicznej oraz uwzględnienie ich przebiegu a także ich stref ochronnych przy lokalizacji nowych oraz przebudowie i rozbudowie istniejących </w:t>
            </w:r>
          </w:p>
        </w:tc>
      </w:tr>
      <w:tr w:rsidR="00EA1C22" w:rsidRPr="00EA1C22" w14:paraId="5198EFED" w14:textId="77777777" w:rsidTr="00A34C14">
        <w:trPr>
          <w:trHeight w:val="288"/>
        </w:trPr>
        <w:tc>
          <w:tcPr>
            <w:tcW w:w="2972" w:type="dxa"/>
            <w:vMerge w:val="restart"/>
            <w:shd w:val="clear" w:color="auto" w:fill="F3F3F3"/>
          </w:tcPr>
          <w:p w14:paraId="19807302" w14:textId="29E1403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Ustalenia obowiązującego miejscowego planu zagospodarowania przestrzennego</w:t>
            </w:r>
            <w:r w:rsidR="00920895">
              <w:rPr>
                <w:rFonts w:ascii="Times New Roman" w:eastAsia="Times New Roman" w:hAnsi="Times New Roman" w:cs="Times New Roman"/>
                <w:sz w:val="20"/>
                <w:szCs w:val="20"/>
                <w:lang w:eastAsia="pl-PL"/>
              </w:rPr>
              <w:t xml:space="preserve"> </w:t>
            </w:r>
            <w:r w:rsidRPr="00EA1C22">
              <w:rPr>
                <w:rFonts w:ascii="Times New Roman" w:eastAsia="Times New Roman" w:hAnsi="Times New Roman" w:cs="Times New Roman"/>
                <w:sz w:val="20"/>
                <w:szCs w:val="20"/>
                <w:lang w:eastAsia="pl-PL"/>
              </w:rPr>
              <w:t>dla działek lub ich fragmentów, znajdujących się w odległości do 100 m od granicy terenu objętego przedsięwzięciem deweloperskim lub zadaniem inwestycyjnym</w:t>
            </w:r>
            <w:r w:rsidR="00D45FD0">
              <w:rPr>
                <w:rStyle w:val="Odwoanieprzypisudolnego"/>
                <w:rFonts w:ascii="Times New Roman" w:eastAsia="Times New Roman" w:hAnsi="Times New Roman"/>
                <w:sz w:val="20"/>
                <w:szCs w:val="20"/>
                <w:lang w:eastAsia="pl-PL"/>
              </w:rPr>
              <w:footnoteReference w:customMarkFollows="1" w:id="5"/>
              <w:t>5)</w:t>
            </w:r>
          </w:p>
        </w:tc>
        <w:tc>
          <w:tcPr>
            <w:tcW w:w="3544" w:type="dxa"/>
          </w:tcPr>
          <w:p w14:paraId="6FC8D570"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Przeznaczenie terenu</w:t>
            </w:r>
          </w:p>
        </w:tc>
        <w:tc>
          <w:tcPr>
            <w:tcW w:w="3118" w:type="dxa"/>
          </w:tcPr>
          <w:p w14:paraId="06B10EFF" w14:textId="676EAD62"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49.MN tereny zabudowy mieszkaniowej jednorodzinnej </w:t>
            </w:r>
          </w:p>
        </w:tc>
      </w:tr>
      <w:tr w:rsidR="00EA1C22" w:rsidRPr="00EA1C22" w14:paraId="7FB6399D" w14:textId="77777777" w:rsidTr="00A34C14">
        <w:trPr>
          <w:trHeight w:val="288"/>
        </w:trPr>
        <w:tc>
          <w:tcPr>
            <w:tcW w:w="2972" w:type="dxa"/>
            <w:vMerge/>
            <w:shd w:val="clear" w:color="auto" w:fill="F3F3F3"/>
          </w:tcPr>
          <w:p w14:paraId="73394623"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7744B442" w14:textId="6C9DC5ED"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Maksymalna intensywność zabudowy</w:t>
            </w:r>
          </w:p>
        </w:tc>
        <w:tc>
          <w:tcPr>
            <w:tcW w:w="3118" w:type="dxa"/>
          </w:tcPr>
          <w:p w14:paraId="4F9483CB" w14:textId="77777777" w:rsid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wskaźnik pow. zabudowy do 40%</w:t>
            </w:r>
          </w:p>
          <w:p w14:paraId="21C43872" w14:textId="57172345" w:rsidR="007D433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wskaźnik intensywności zabudowy: brak</w:t>
            </w:r>
          </w:p>
        </w:tc>
      </w:tr>
      <w:tr w:rsidR="00A85871" w:rsidRPr="00EA1C22" w14:paraId="15F7900F" w14:textId="77777777" w:rsidTr="00A34C14">
        <w:trPr>
          <w:trHeight w:val="288"/>
        </w:trPr>
        <w:tc>
          <w:tcPr>
            <w:tcW w:w="2972" w:type="dxa"/>
            <w:vMerge/>
            <w:shd w:val="clear" w:color="auto" w:fill="F3F3F3"/>
          </w:tcPr>
          <w:p w14:paraId="0C2D8FAF" w14:textId="77777777" w:rsidR="00A85871" w:rsidRPr="00EA1C22" w:rsidRDefault="00A85871"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4AEDE84B" w14:textId="0B6BE64C" w:rsidR="00A85871" w:rsidRPr="00EA1C22" w:rsidRDefault="00A85871" w:rsidP="00A66287">
            <w:pPr>
              <w:spacing w:beforeLines="60" w:before="144" w:afterLines="60" w:after="144" w:line="240" w:lineRule="auto"/>
              <w:rPr>
                <w:rFonts w:ascii="Times New Roman" w:eastAsia="Times New Roman" w:hAnsi="Times New Roman" w:cs="Times New Roman"/>
                <w:sz w:val="20"/>
                <w:szCs w:val="20"/>
                <w:lang w:eastAsia="pl-PL"/>
              </w:rPr>
            </w:pPr>
            <w:r w:rsidRPr="00A85871">
              <w:rPr>
                <w:rFonts w:ascii="Times New Roman" w:eastAsia="Times New Roman" w:hAnsi="Times New Roman" w:cs="Times New Roman"/>
                <w:sz w:val="20"/>
                <w:szCs w:val="20"/>
                <w:lang w:eastAsia="pl-PL"/>
              </w:rPr>
              <w:t>Maksymalna i minimalna nadziemna intensywność zabudowy</w:t>
            </w:r>
          </w:p>
        </w:tc>
        <w:tc>
          <w:tcPr>
            <w:tcW w:w="3118" w:type="dxa"/>
          </w:tcPr>
          <w:p w14:paraId="23F5562C" w14:textId="4F6E105B" w:rsidR="00A8587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Parter plus poddasze</w:t>
            </w:r>
          </w:p>
        </w:tc>
      </w:tr>
      <w:tr w:rsidR="00EA1C22" w:rsidRPr="00EA1C22" w14:paraId="2516849C" w14:textId="77777777" w:rsidTr="00A34C14">
        <w:trPr>
          <w:trHeight w:val="288"/>
        </w:trPr>
        <w:tc>
          <w:tcPr>
            <w:tcW w:w="2972" w:type="dxa"/>
            <w:vMerge/>
            <w:shd w:val="clear" w:color="auto" w:fill="F3F3F3"/>
          </w:tcPr>
          <w:p w14:paraId="0CCD31D3"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36FD33CF"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Maksymalna wysokość zabudowy</w:t>
            </w:r>
          </w:p>
        </w:tc>
        <w:tc>
          <w:tcPr>
            <w:tcW w:w="3118" w:type="dxa"/>
          </w:tcPr>
          <w:p w14:paraId="2AB962F8" w14:textId="5D435843"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Wysokość bud. mieszk. Do 11,0m</w:t>
            </w:r>
          </w:p>
        </w:tc>
      </w:tr>
      <w:tr w:rsidR="00A85871" w:rsidRPr="00EA1C22" w14:paraId="35B3630B" w14:textId="77777777" w:rsidTr="00A34C14">
        <w:trPr>
          <w:trHeight w:val="288"/>
        </w:trPr>
        <w:tc>
          <w:tcPr>
            <w:tcW w:w="2972" w:type="dxa"/>
            <w:vMerge/>
            <w:shd w:val="clear" w:color="auto" w:fill="F3F3F3"/>
          </w:tcPr>
          <w:p w14:paraId="09CDB954" w14:textId="77777777" w:rsidR="00A85871" w:rsidRPr="00EA1C22" w:rsidRDefault="00A85871"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344B86B6" w14:textId="6A951DB6" w:rsidR="00A85871" w:rsidRPr="00EA1C22" w:rsidRDefault="00A85871" w:rsidP="00A66287">
            <w:pPr>
              <w:spacing w:beforeLines="60" w:before="144" w:afterLines="60" w:after="144" w:line="240" w:lineRule="auto"/>
              <w:rPr>
                <w:rFonts w:ascii="Times New Roman" w:eastAsia="Times New Roman" w:hAnsi="Times New Roman" w:cs="Times New Roman"/>
                <w:sz w:val="20"/>
                <w:szCs w:val="20"/>
                <w:lang w:eastAsia="pl-PL"/>
              </w:rPr>
            </w:pPr>
            <w:r w:rsidRPr="00A85871">
              <w:rPr>
                <w:rFonts w:ascii="Times New Roman" w:eastAsia="Times New Roman" w:hAnsi="Times New Roman" w:cs="Times New Roman"/>
                <w:sz w:val="20"/>
                <w:szCs w:val="20"/>
                <w:lang w:eastAsia="pl-PL"/>
              </w:rPr>
              <w:t>Maksymalna powierzchnia zabudowy</w:t>
            </w:r>
          </w:p>
        </w:tc>
        <w:tc>
          <w:tcPr>
            <w:tcW w:w="3118" w:type="dxa"/>
          </w:tcPr>
          <w:p w14:paraId="507BBAA0" w14:textId="4352E1C6" w:rsidR="00A85871"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Maks 30%</w:t>
            </w:r>
          </w:p>
        </w:tc>
      </w:tr>
      <w:tr w:rsidR="00EA1C22" w:rsidRPr="00EA1C22" w14:paraId="5E5CECF8" w14:textId="77777777" w:rsidTr="00A34C14">
        <w:trPr>
          <w:trHeight w:val="288"/>
        </w:trPr>
        <w:tc>
          <w:tcPr>
            <w:tcW w:w="2972" w:type="dxa"/>
            <w:vMerge/>
            <w:shd w:val="clear" w:color="auto" w:fill="F3F3F3"/>
          </w:tcPr>
          <w:p w14:paraId="6BEA1735"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0E89317C"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Minimalny udział procentowy powierzchni biologicznie czynnej</w:t>
            </w:r>
          </w:p>
        </w:tc>
        <w:tc>
          <w:tcPr>
            <w:tcW w:w="3118" w:type="dxa"/>
          </w:tcPr>
          <w:p w14:paraId="403C24CF" w14:textId="70D44080"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Min 40%</w:t>
            </w:r>
          </w:p>
        </w:tc>
      </w:tr>
      <w:tr w:rsidR="00EA1C22" w:rsidRPr="00EA1C22" w14:paraId="4D5B9AF9" w14:textId="77777777" w:rsidTr="00A34C14">
        <w:trPr>
          <w:trHeight w:val="288"/>
        </w:trPr>
        <w:tc>
          <w:tcPr>
            <w:tcW w:w="2972" w:type="dxa"/>
            <w:vMerge/>
            <w:shd w:val="clear" w:color="auto" w:fill="F3F3F3"/>
          </w:tcPr>
          <w:p w14:paraId="2DFBC2C8"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2E6C4095"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Minimalna liczba miejsc do parkowania</w:t>
            </w:r>
          </w:p>
        </w:tc>
        <w:tc>
          <w:tcPr>
            <w:tcW w:w="3118" w:type="dxa"/>
          </w:tcPr>
          <w:p w14:paraId="09F66A60" w14:textId="3EC37D6F"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miejsca na każdej działce</w:t>
            </w:r>
          </w:p>
        </w:tc>
      </w:tr>
      <w:tr w:rsidR="00EA1C22" w:rsidRPr="00EA1C22" w14:paraId="304760F8" w14:textId="77777777" w:rsidTr="00A34C14">
        <w:trPr>
          <w:trHeight w:val="916"/>
        </w:trPr>
        <w:tc>
          <w:tcPr>
            <w:tcW w:w="2972" w:type="dxa"/>
            <w:vMerge w:val="restart"/>
            <w:shd w:val="clear" w:color="auto" w:fill="F3F3F3"/>
          </w:tcPr>
          <w:p w14:paraId="4E5521D7"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 xml:space="preserve">Ustalenia decyzji o warunkach zabudowy albo decyzji o ustaleniu lokalizacji inwestycji celu publicznego dla terenu objętego przedsięwzięciem deweloperskim lub zadaniem </w:t>
            </w:r>
            <w:r w:rsidRPr="00EA1C22">
              <w:rPr>
                <w:rFonts w:ascii="Times New Roman" w:eastAsia="Times New Roman" w:hAnsi="Times New Roman" w:cs="Times New Roman"/>
                <w:sz w:val="20"/>
                <w:szCs w:val="20"/>
                <w:lang w:eastAsia="pl-PL"/>
              </w:rPr>
              <w:lastRenderedPageBreak/>
              <w:t>inwestycyjnym w przypadku braku miejscowego planu zagospodarowania przestrzennego</w:t>
            </w:r>
          </w:p>
          <w:p w14:paraId="330017B6"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p w14:paraId="259A7C75"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8264E71"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Funkcja zabudowy i zagospodarowania terenu</w:t>
            </w:r>
          </w:p>
        </w:tc>
        <w:tc>
          <w:tcPr>
            <w:tcW w:w="3118" w:type="dxa"/>
          </w:tcPr>
          <w:p w14:paraId="16B81D43"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Univers-PL" w:hAnsi="Times New Roman" w:cs="Times New Roman"/>
                <w:sz w:val="20"/>
                <w:szCs w:val="20"/>
                <w:lang w:eastAsia="pl-PL"/>
              </w:rPr>
              <w:t>Sposób użytkowania obiektów budowlanych oraz zagospodarowania terenu</w:t>
            </w:r>
          </w:p>
        </w:tc>
      </w:tr>
      <w:tr w:rsidR="00EA1C22" w:rsidRPr="00EA1C22" w14:paraId="20313C73" w14:textId="77777777" w:rsidTr="00A34C14">
        <w:trPr>
          <w:trHeight w:val="181"/>
        </w:trPr>
        <w:tc>
          <w:tcPr>
            <w:tcW w:w="2972" w:type="dxa"/>
            <w:vMerge/>
            <w:shd w:val="clear" w:color="auto" w:fill="F3F3F3"/>
          </w:tcPr>
          <w:p w14:paraId="3D5FC477"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6662" w:type="dxa"/>
            <w:gridSpan w:val="2"/>
          </w:tcPr>
          <w:p w14:paraId="1E00CFD1"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Cechy zabudowy i zagospodarowania terenu:</w:t>
            </w:r>
          </w:p>
        </w:tc>
      </w:tr>
      <w:tr w:rsidR="00EA1C22" w:rsidRPr="00EA1C22" w14:paraId="048239B8" w14:textId="77777777" w:rsidTr="00A34C14">
        <w:trPr>
          <w:trHeight w:val="181"/>
        </w:trPr>
        <w:tc>
          <w:tcPr>
            <w:tcW w:w="2972" w:type="dxa"/>
            <w:vMerge/>
            <w:shd w:val="clear" w:color="auto" w:fill="F3F3F3"/>
          </w:tcPr>
          <w:p w14:paraId="1BE8D21C"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4DD136D7"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gabaryty</w:t>
            </w:r>
          </w:p>
        </w:tc>
        <w:tc>
          <w:tcPr>
            <w:tcW w:w="3118" w:type="dxa"/>
          </w:tcPr>
          <w:p w14:paraId="6E31B88F" w14:textId="6E2DA3DA"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7049EE7C" w14:textId="77777777" w:rsidTr="00A34C14">
        <w:trPr>
          <w:trHeight w:val="181"/>
        </w:trPr>
        <w:tc>
          <w:tcPr>
            <w:tcW w:w="2972" w:type="dxa"/>
            <w:vMerge/>
            <w:shd w:val="clear" w:color="auto" w:fill="F3F3F3"/>
          </w:tcPr>
          <w:p w14:paraId="12ECED63"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65BA284"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forma architektoniczna</w:t>
            </w:r>
          </w:p>
        </w:tc>
        <w:tc>
          <w:tcPr>
            <w:tcW w:w="3118" w:type="dxa"/>
          </w:tcPr>
          <w:p w14:paraId="24767A98" w14:textId="3728C17C"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38D1DF54" w14:textId="77777777" w:rsidTr="00A34C14">
        <w:trPr>
          <w:trHeight w:val="181"/>
        </w:trPr>
        <w:tc>
          <w:tcPr>
            <w:tcW w:w="2972" w:type="dxa"/>
            <w:vMerge/>
            <w:shd w:val="clear" w:color="auto" w:fill="F3F3F3"/>
          </w:tcPr>
          <w:p w14:paraId="5F4F0002"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74C03B65"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usytuowanie linii zabudowy</w:t>
            </w:r>
          </w:p>
        </w:tc>
        <w:tc>
          <w:tcPr>
            <w:tcW w:w="3118" w:type="dxa"/>
          </w:tcPr>
          <w:p w14:paraId="0DB37666" w14:textId="27E3F9EE"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6FCA4758" w14:textId="77777777" w:rsidTr="00A34C14">
        <w:trPr>
          <w:trHeight w:val="181"/>
        </w:trPr>
        <w:tc>
          <w:tcPr>
            <w:tcW w:w="2972" w:type="dxa"/>
            <w:vMerge/>
            <w:shd w:val="clear" w:color="auto" w:fill="F3F3F3"/>
          </w:tcPr>
          <w:p w14:paraId="66715CCD"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60202A9"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intensywność wykorzystania terenu</w:t>
            </w:r>
          </w:p>
        </w:tc>
        <w:tc>
          <w:tcPr>
            <w:tcW w:w="3118" w:type="dxa"/>
          </w:tcPr>
          <w:p w14:paraId="362CCD3C" w14:textId="0C0B0518"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1F763ACD" w14:textId="77777777" w:rsidTr="00A34C14">
        <w:trPr>
          <w:trHeight w:val="181"/>
        </w:trPr>
        <w:tc>
          <w:tcPr>
            <w:tcW w:w="2972" w:type="dxa"/>
            <w:vMerge/>
            <w:shd w:val="clear" w:color="auto" w:fill="F3F3F3"/>
          </w:tcPr>
          <w:p w14:paraId="3E1FDEEC"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67B7E98F"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ochrony środowiska i zdrowia ludzi, przyrody i krajobrazu</w:t>
            </w:r>
          </w:p>
        </w:tc>
        <w:tc>
          <w:tcPr>
            <w:tcW w:w="3118" w:type="dxa"/>
          </w:tcPr>
          <w:p w14:paraId="15880D63" w14:textId="4C7DB84E"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5F263450" w14:textId="77777777" w:rsidTr="00A34C14">
        <w:trPr>
          <w:trHeight w:val="181"/>
        </w:trPr>
        <w:tc>
          <w:tcPr>
            <w:tcW w:w="2972" w:type="dxa"/>
            <w:vMerge/>
            <w:shd w:val="clear" w:color="auto" w:fill="F3F3F3"/>
          </w:tcPr>
          <w:p w14:paraId="15BA87EB"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FFCF3C0"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wymagania dotyczące zabudowy i zagospodarowania terenu położonego na obszarach szczególnego zagrożenia powodzią</w:t>
            </w:r>
          </w:p>
        </w:tc>
        <w:tc>
          <w:tcPr>
            <w:tcW w:w="3118" w:type="dxa"/>
          </w:tcPr>
          <w:p w14:paraId="161FDB21" w14:textId="31587082"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12BF561E" w14:textId="77777777" w:rsidTr="00A34C14">
        <w:trPr>
          <w:trHeight w:val="181"/>
        </w:trPr>
        <w:tc>
          <w:tcPr>
            <w:tcW w:w="2972" w:type="dxa"/>
            <w:vMerge/>
            <w:shd w:val="clear" w:color="auto" w:fill="F3F3F3"/>
          </w:tcPr>
          <w:p w14:paraId="57B1CB29"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5ACBC586"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ochrony dziedzictwa kulturowego i zabytków oraz dóbr kultury współczesnej</w:t>
            </w:r>
          </w:p>
        </w:tc>
        <w:tc>
          <w:tcPr>
            <w:tcW w:w="3118" w:type="dxa"/>
          </w:tcPr>
          <w:p w14:paraId="56659985" w14:textId="1785381B"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76FB5FAA" w14:textId="77777777" w:rsidTr="00A34C14">
        <w:trPr>
          <w:trHeight w:val="181"/>
        </w:trPr>
        <w:tc>
          <w:tcPr>
            <w:tcW w:w="2972" w:type="dxa"/>
            <w:vMerge/>
            <w:shd w:val="clear" w:color="auto" w:fill="F3F3F3"/>
          </w:tcPr>
          <w:p w14:paraId="5157655C"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0D8578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wymagania dotyczące ochrony innych terenów lub obiektów podlegających ochronie na podstawie przepisów odrębnych</w:t>
            </w:r>
          </w:p>
        </w:tc>
        <w:tc>
          <w:tcPr>
            <w:tcW w:w="3118" w:type="dxa"/>
          </w:tcPr>
          <w:p w14:paraId="26A3DA53" w14:textId="6A77C8CC"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5B80EA0E" w14:textId="77777777" w:rsidTr="00A34C14">
        <w:trPr>
          <w:trHeight w:val="181"/>
        </w:trPr>
        <w:tc>
          <w:tcPr>
            <w:tcW w:w="2972" w:type="dxa"/>
            <w:vMerge/>
            <w:shd w:val="clear" w:color="auto" w:fill="F3F3F3"/>
          </w:tcPr>
          <w:p w14:paraId="57FEDAAD" w14:textId="77777777" w:rsidR="00A85871" w:rsidRPr="00EA1C22" w:rsidRDefault="00A85871"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67180B31" w14:textId="4C681CC1" w:rsidR="00A85871" w:rsidRPr="00EA1C22" w:rsidRDefault="00A85871" w:rsidP="00EA1C22">
            <w:pPr>
              <w:spacing w:beforeLines="60" w:before="144" w:afterLines="60" w:after="144" w:line="240" w:lineRule="auto"/>
              <w:jc w:val="both"/>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warunki i szczegółowe zasady obsługi w zakresie komunikacji</w:t>
            </w:r>
          </w:p>
        </w:tc>
        <w:tc>
          <w:tcPr>
            <w:tcW w:w="3118" w:type="dxa"/>
          </w:tcPr>
          <w:p w14:paraId="207249AB" w14:textId="75698126" w:rsidR="00A85871"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26EEEE6E" w14:textId="77777777" w:rsidTr="00A34C14">
        <w:trPr>
          <w:trHeight w:val="181"/>
        </w:trPr>
        <w:tc>
          <w:tcPr>
            <w:tcW w:w="2972" w:type="dxa"/>
            <w:vMerge/>
            <w:shd w:val="clear" w:color="auto" w:fill="F3F3F3"/>
          </w:tcPr>
          <w:p w14:paraId="6BB47753"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05528FC9" w14:textId="4CC51168"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warunki i szczegółowe zasady obsługi w zakresie infrastruktury technicznej</w:t>
            </w:r>
          </w:p>
        </w:tc>
        <w:tc>
          <w:tcPr>
            <w:tcW w:w="3118" w:type="dxa"/>
          </w:tcPr>
          <w:p w14:paraId="4B62C366" w14:textId="15F7F71D"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0DC9FEF6" w14:textId="77777777" w:rsidTr="00A34C14">
        <w:trPr>
          <w:trHeight w:val="181"/>
        </w:trPr>
        <w:tc>
          <w:tcPr>
            <w:tcW w:w="2972" w:type="dxa"/>
            <w:vMerge/>
            <w:shd w:val="clear" w:color="auto" w:fill="F3F3F3"/>
          </w:tcPr>
          <w:p w14:paraId="40F8BE33"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1A57D53" w14:textId="7BE98A93"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lang w:eastAsia="pl-PL"/>
              </w:rPr>
            </w:pPr>
            <w:r w:rsidRPr="00A85871">
              <w:rPr>
                <w:rFonts w:ascii="Times New Roman" w:eastAsia="Times New Roman" w:hAnsi="Times New Roman" w:cs="Times New Roman"/>
                <w:sz w:val="20"/>
                <w:szCs w:val="20"/>
                <w:lang w:eastAsia="pl-PL"/>
              </w:rPr>
              <w:t>Minimalny udział procentowy powierzchni biologicznie czynnej</w:t>
            </w:r>
          </w:p>
        </w:tc>
        <w:tc>
          <w:tcPr>
            <w:tcW w:w="3118" w:type="dxa"/>
          </w:tcPr>
          <w:p w14:paraId="64C5A7FA" w14:textId="0604DF55"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77C9B995" w14:textId="77777777" w:rsidTr="00A34C14">
        <w:trPr>
          <w:trHeight w:val="181"/>
        </w:trPr>
        <w:tc>
          <w:tcPr>
            <w:tcW w:w="2972" w:type="dxa"/>
            <w:vMerge/>
            <w:shd w:val="clear" w:color="auto" w:fill="F3F3F3"/>
          </w:tcPr>
          <w:p w14:paraId="249201D5"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105D12A3" w14:textId="0E0A182A"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A85871">
              <w:rPr>
                <w:rFonts w:ascii="Times New Roman" w:eastAsia="Times New Roman" w:hAnsi="Times New Roman" w:cs="Times New Roman"/>
                <w:sz w:val="20"/>
                <w:szCs w:val="20"/>
              </w:rPr>
              <w:t>Nadziemna intensywność zabudowy</w:t>
            </w:r>
          </w:p>
        </w:tc>
        <w:tc>
          <w:tcPr>
            <w:tcW w:w="3118" w:type="dxa"/>
          </w:tcPr>
          <w:p w14:paraId="5DA0AAEA" w14:textId="7ACB5F55"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Dwie kondygnacje</w:t>
            </w:r>
          </w:p>
        </w:tc>
      </w:tr>
      <w:tr w:rsidR="00A85871" w:rsidRPr="00EA1C22" w14:paraId="56F4BF96" w14:textId="77777777" w:rsidTr="00A34C14">
        <w:trPr>
          <w:trHeight w:val="181"/>
        </w:trPr>
        <w:tc>
          <w:tcPr>
            <w:tcW w:w="2972" w:type="dxa"/>
            <w:vMerge/>
            <w:shd w:val="clear" w:color="auto" w:fill="F3F3F3"/>
          </w:tcPr>
          <w:p w14:paraId="10E17C86"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3572C9AB" w14:textId="747431F2"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A85871">
              <w:rPr>
                <w:rFonts w:ascii="Times New Roman" w:eastAsia="Times New Roman" w:hAnsi="Times New Roman" w:cs="Times New Roman"/>
                <w:sz w:val="20"/>
                <w:szCs w:val="20"/>
              </w:rPr>
              <w:t>Wysokość zabudowy</w:t>
            </w:r>
          </w:p>
        </w:tc>
        <w:tc>
          <w:tcPr>
            <w:tcW w:w="3118" w:type="dxa"/>
          </w:tcPr>
          <w:p w14:paraId="0FAF6650" w14:textId="4AB5167E"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Wysokość budynków do 11,0m</w:t>
            </w:r>
          </w:p>
        </w:tc>
      </w:tr>
      <w:tr w:rsidR="00A85871" w:rsidRPr="00EA1C22" w14:paraId="1B415B88" w14:textId="77777777" w:rsidTr="00A34C14">
        <w:trPr>
          <w:trHeight w:val="73"/>
        </w:trPr>
        <w:tc>
          <w:tcPr>
            <w:tcW w:w="2972" w:type="dxa"/>
            <w:vMerge w:val="restart"/>
            <w:shd w:val="clear" w:color="auto" w:fill="F3F3F3"/>
          </w:tcPr>
          <w:p w14:paraId="0666C3FF" w14:textId="616AD5F4"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Informacje dotyczące przewidzianych inwestycji w promieniu 1 km </w:t>
            </w:r>
            <w:r w:rsidRPr="00A66287">
              <w:rPr>
                <w:rFonts w:ascii="Times New Roman" w:eastAsia="Times New Roman" w:hAnsi="Times New Roman" w:cs="Times New Roman"/>
                <w:sz w:val="20"/>
                <w:szCs w:val="20"/>
              </w:rPr>
              <w:t>od terenu</w:t>
            </w:r>
            <w:r>
              <w:rPr>
                <w:rFonts w:ascii="Times New Roman" w:eastAsia="Times New Roman" w:hAnsi="Times New Roman" w:cs="Times New Roman"/>
                <w:sz w:val="20"/>
                <w:szCs w:val="20"/>
              </w:rPr>
              <w:t xml:space="preserve"> </w:t>
            </w:r>
            <w:r w:rsidRPr="00A66287">
              <w:rPr>
                <w:rFonts w:ascii="Times New Roman" w:eastAsia="Times New Roman" w:hAnsi="Times New Roman" w:cs="Times New Roman"/>
                <w:sz w:val="20"/>
                <w:szCs w:val="20"/>
              </w:rPr>
              <w:t>objętego przedsięwzięciem</w:t>
            </w:r>
            <w:r>
              <w:rPr>
                <w:rFonts w:ascii="Times New Roman" w:eastAsia="Times New Roman" w:hAnsi="Times New Roman" w:cs="Times New Roman"/>
                <w:sz w:val="20"/>
                <w:szCs w:val="20"/>
              </w:rPr>
              <w:t xml:space="preserve"> </w:t>
            </w:r>
            <w:r w:rsidRPr="00A66287">
              <w:rPr>
                <w:rFonts w:ascii="Times New Roman" w:eastAsia="Times New Roman" w:hAnsi="Times New Roman" w:cs="Times New Roman"/>
                <w:sz w:val="20"/>
                <w:szCs w:val="20"/>
              </w:rPr>
              <w:t>deweloperskim lub zadaniem</w:t>
            </w:r>
            <w:r>
              <w:rPr>
                <w:rFonts w:ascii="Times New Roman" w:eastAsia="Times New Roman" w:hAnsi="Times New Roman" w:cs="Times New Roman"/>
                <w:sz w:val="20"/>
                <w:szCs w:val="20"/>
              </w:rPr>
              <w:t xml:space="preserve"> </w:t>
            </w:r>
            <w:r w:rsidRPr="00A66287">
              <w:rPr>
                <w:rFonts w:ascii="Times New Roman" w:eastAsia="Times New Roman" w:hAnsi="Times New Roman" w:cs="Times New Roman"/>
                <w:sz w:val="20"/>
                <w:szCs w:val="20"/>
              </w:rPr>
              <w:t>inwestycyjnym</w:t>
            </w:r>
            <w:r>
              <w:rPr>
                <w:rStyle w:val="Odwoanieprzypisudolnego"/>
                <w:rFonts w:ascii="Times New Roman" w:eastAsia="Times New Roman" w:hAnsi="Times New Roman"/>
                <w:sz w:val="20"/>
                <w:szCs w:val="20"/>
              </w:rPr>
              <w:footnoteReference w:customMarkFollows="1" w:id="6"/>
              <w:t>6)</w:t>
            </w:r>
            <w:r w:rsidRPr="00EA1C22">
              <w:rPr>
                <w:rFonts w:ascii="Times New Roman" w:eastAsia="Times New Roman" w:hAnsi="Times New Roman" w:cs="Times New Roman"/>
                <w:sz w:val="20"/>
                <w:szCs w:val="20"/>
              </w:rPr>
              <w:t>, zawarte w:</w:t>
            </w:r>
          </w:p>
          <w:p w14:paraId="2F79D3B2"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6FBB2722"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miejscowych planach zagospodarowania przestrzennego</w:t>
            </w:r>
          </w:p>
        </w:tc>
        <w:tc>
          <w:tcPr>
            <w:tcW w:w="3118" w:type="dxa"/>
          </w:tcPr>
          <w:p w14:paraId="79D92A86" w14:textId="240821CF"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7E334450" w14:textId="77777777" w:rsidTr="00A34C14">
        <w:trPr>
          <w:trHeight w:val="71"/>
        </w:trPr>
        <w:tc>
          <w:tcPr>
            <w:tcW w:w="2972" w:type="dxa"/>
            <w:vMerge/>
            <w:shd w:val="clear" w:color="auto" w:fill="F3F3F3"/>
          </w:tcPr>
          <w:p w14:paraId="13AB47AC"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2CE95AB1" w14:textId="5DE7AEAB"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decyzjach o warunkach zabudowy</w:t>
            </w:r>
            <w:r>
              <w:rPr>
                <w:rFonts w:ascii="Times New Roman" w:eastAsia="Times New Roman" w:hAnsi="Times New Roman" w:cs="Times New Roman"/>
                <w:sz w:val="20"/>
                <w:szCs w:val="20"/>
                <w:lang w:eastAsia="pl-PL"/>
              </w:rPr>
              <w:t xml:space="preserve"> i </w:t>
            </w:r>
            <w:r w:rsidRPr="00EA1C22">
              <w:rPr>
                <w:rFonts w:ascii="Times New Roman" w:eastAsia="Times New Roman" w:hAnsi="Times New Roman" w:cs="Times New Roman"/>
                <w:sz w:val="20"/>
                <w:szCs w:val="20"/>
                <w:lang w:eastAsia="pl-PL"/>
              </w:rPr>
              <w:t>zagospodarowania terenu</w:t>
            </w:r>
          </w:p>
        </w:tc>
        <w:tc>
          <w:tcPr>
            <w:tcW w:w="3118" w:type="dxa"/>
          </w:tcPr>
          <w:p w14:paraId="0F48FD8A" w14:textId="06DE24B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C7F24D8" w14:textId="77777777" w:rsidTr="00A34C14">
        <w:trPr>
          <w:trHeight w:val="569"/>
        </w:trPr>
        <w:tc>
          <w:tcPr>
            <w:tcW w:w="2972" w:type="dxa"/>
            <w:vMerge/>
            <w:shd w:val="clear" w:color="auto" w:fill="F3F3F3"/>
          </w:tcPr>
          <w:p w14:paraId="0FD09F36"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51788EB1"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decyzjach o środowiskowych uwarunkowaniach</w:t>
            </w:r>
          </w:p>
        </w:tc>
        <w:tc>
          <w:tcPr>
            <w:tcW w:w="3118" w:type="dxa"/>
          </w:tcPr>
          <w:p w14:paraId="1906FF5C" w14:textId="01BA7489"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5F2D49B2" w14:textId="77777777" w:rsidTr="00A34C14">
        <w:trPr>
          <w:trHeight w:val="71"/>
        </w:trPr>
        <w:tc>
          <w:tcPr>
            <w:tcW w:w="2972" w:type="dxa"/>
            <w:vMerge/>
            <w:shd w:val="clear" w:color="auto" w:fill="F3F3F3"/>
          </w:tcPr>
          <w:p w14:paraId="74B543B0"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68F2B33E"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decyzjach o obszarach ograniczonego użytkowania</w:t>
            </w:r>
          </w:p>
        </w:tc>
        <w:tc>
          <w:tcPr>
            <w:tcW w:w="3118" w:type="dxa"/>
          </w:tcPr>
          <w:p w14:paraId="41D3388D" w14:textId="3193034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E3765B6" w14:textId="77777777" w:rsidTr="00A34C14">
        <w:trPr>
          <w:trHeight w:val="71"/>
        </w:trPr>
        <w:tc>
          <w:tcPr>
            <w:tcW w:w="2972" w:type="dxa"/>
            <w:vMerge/>
            <w:shd w:val="clear" w:color="auto" w:fill="F3F3F3"/>
          </w:tcPr>
          <w:p w14:paraId="67710EA6"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774BE01A"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miejscowych planach odbudowy</w:t>
            </w:r>
          </w:p>
        </w:tc>
        <w:tc>
          <w:tcPr>
            <w:tcW w:w="3118" w:type="dxa"/>
          </w:tcPr>
          <w:p w14:paraId="34E13191" w14:textId="1D2F453D"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797903FF" w14:textId="77777777" w:rsidTr="00A34C14">
        <w:trPr>
          <w:trHeight w:val="71"/>
        </w:trPr>
        <w:tc>
          <w:tcPr>
            <w:tcW w:w="2972" w:type="dxa"/>
            <w:vMerge/>
            <w:shd w:val="clear" w:color="auto" w:fill="F3F3F3"/>
          </w:tcPr>
          <w:p w14:paraId="6E45CF61"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0731BB65"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mapach zagrożenia powodziowego i mapach ryzyka powodziowego</w:t>
            </w:r>
          </w:p>
        </w:tc>
        <w:tc>
          <w:tcPr>
            <w:tcW w:w="3118" w:type="dxa"/>
          </w:tcPr>
          <w:p w14:paraId="19EECE9C" w14:textId="0A677B36"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70969EB" w14:textId="77777777" w:rsidTr="00A34C14">
        <w:trPr>
          <w:trHeight w:val="71"/>
        </w:trPr>
        <w:tc>
          <w:tcPr>
            <w:tcW w:w="2972" w:type="dxa"/>
            <w:vMerge/>
            <w:shd w:val="clear" w:color="auto" w:fill="F3F3F3"/>
          </w:tcPr>
          <w:p w14:paraId="329B38DC"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6662" w:type="dxa"/>
            <w:gridSpan w:val="2"/>
          </w:tcPr>
          <w:p w14:paraId="63A4742A" w14:textId="39F0AF0B" w:rsidR="00A85871" w:rsidRPr="00EA1C22" w:rsidRDefault="00A85871" w:rsidP="00A85871">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Ustalenia decyzji w zakresie rozmieszczenia inwestycji celu publicznego, mogące mieć znaczenie dla terenu objętego przedsięwzięciem deweloperskim lub zadaniem inwestycyjnym:</w:t>
            </w:r>
          </w:p>
        </w:tc>
      </w:tr>
      <w:tr w:rsidR="00A85871" w:rsidRPr="00EA1C22" w14:paraId="2A25669A" w14:textId="77777777" w:rsidTr="00A34C14">
        <w:trPr>
          <w:trHeight w:val="84"/>
        </w:trPr>
        <w:tc>
          <w:tcPr>
            <w:tcW w:w="2972" w:type="dxa"/>
            <w:vMerge/>
            <w:shd w:val="clear" w:color="auto" w:fill="F3F3F3"/>
          </w:tcPr>
          <w:p w14:paraId="7F311D1B"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1A36929E"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zezwoleniu na realizację inwestycji drogowej</w:t>
            </w:r>
          </w:p>
        </w:tc>
        <w:tc>
          <w:tcPr>
            <w:tcW w:w="3118" w:type="dxa"/>
          </w:tcPr>
          <w:p w14:paraId="3AA369FA" w14:textId="363F3E8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48974381" w14:textId="77777777" w:rsidTr="00A34C14">
        <w:trPr>
          <w:trHeight w:val="81"/>
        </w:trPr>
        <w:tc>
          <w:tcPr>
            <w:tcW w:w="2972" w:type="dxa"/>
            <w:vMerge/>
            <w:shd w:val="clear" w:color="auto" w:fill="F3F3F3"/>
          </w:tcPr>
          <w:p w14:paraId="77DDE00F"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15E98F8B"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ustaleniu lokalizacji linii kolejowej</w:t>
            </w:r>
          </w:p>
        </w:tc>
        <w:tc>
          <w:tcPr>
            <w:tcW w:w="3118" w:type="dxa"/>
          </w:tcPr>
          <w:p w14:paraId="3C349725" w14:textId="12D00A00"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48B0EE58" w14:textId="77777777" w:rsidTr="00A34C14">
        <w:trPr>
          <w:trHeight w:val="81"/>
        </w:trPr>
        <w:tc>
          <w:tcPr>
            <w:tcW w:w="2972" w:type="dxa"/>
            <w:vMerge/>
            <w:shd w:val="clear" w:color="auto" w:fill="F3F3F3"/>
          </w:tcPr>
          <w:p w14:paraId="6E057644"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6296F6B4"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zezwoleniu na realizację inwestycji w zakresie lotniska użytku publicznego</w:t>
            </w:r>
          </w:p>
        </w:tc>
        <w:tc>
          <w:tcPr>
            <w:tcW w:w="3118" w:type="dxa"/>
          </w:tcPr>
          <w:p w14:paraId="548335B9" w14:textId="0AEB6BA6"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5C098B03" w14:textId="77777777" w:rsidTr="00A34C14">
        <w:trPr>
          <w:trHeight w:val="81"/>
        </w:trPr>
        <w:tc>
          <w:tcPr>
            <w:tcW w:w="2972" w:type="dxa"/>
            <w:vMerge/>
            <w:shd w:val="clear" w:color="auto" w:fill="F3F3F3"/>
          </w:tcPr>
          <w:p w14:paraId="46B494A3"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18B715EC"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pozwoleniu na realizację inwestycji w zakresie budowli przeciwpowodziowych</w:t>
            </w:r>
          </w:p>
        </w:tc>
        <w:tc>
          <w:tcPr>
            <w:tcW w:w="3118" w:type="dxa"/>
          </w:tcPr>
          <w:p w14:paraId="42D0B701" w14:textId="5A0C5FA5"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6BB55315" w14:textId="77777777" w:rsidTr="00A34C14">
        <w:trPr>
          <w:trHeight w:val="81"/>
        </w:trPr>
        <w:tc>
          <w:tcPr>
            <w:tcW w:w="2972" w:type="dxa"/>
            <w:vMerge/>
            <w:shd w:val="clear" w:color="auto" w:fill="F3F3F3"/>
          </w:tcPr>
          <w:p w14:paraId="7526D046"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6D10F3A1"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ustaleniu lokalizacji inwestycji w zakresie budowy obiektu energetyki jądrowej</w:t>
            </w:r>
          </w:p>
        </w:tc>
        <w:tc>
          <w:tcPr>
            <w:tcW w:w="3118" w:type="dxa"/>
          </w:tcPr>
          <w:p w14:paraId="3E5F5E66" w14:textId="154FAA49"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68C8329E" w14:textId="77777777" w:rsidTr="00A34C14">
        <w:trPr>
          <w:trHeight w:val="81"/>
        </w:trPr>
        <w:tc>
          <w:tcPr>
            <w:tcW w:w="2972" w:type="dxa"/>
            <w:vMerge/>
            <w:shd w:val="clear" w:color="auto" w:fill="F3F3F3"/>
          </w:tcPr>
          <w:p w14:paraId="26413947"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2F3F1AF5"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ustaleniu lokalizacji strategicznej inwestycji w zakresie sieci przesyłowej</w:t>
            </w:r>
          </w:p>
        </w:tc>
        <w:tc>
          <w:tcPr>
            <w:tcW w:w="3118" w:type="dxa"/>
          </w:tcPr>
          <w:p w14:paraId="22F9EB64" w14:textId="2DB7A22C"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1AAF6943" w14:textId="77777777" w:rsidTr="00A34C14">
        <w:trPr>
          <w:trHeight w:val="81"/>
        </w:trPr>
        <w:tc>
          <w:tcPr>
            <w:tcW w:w="2972" w:type="dxa"/>
            <w:vMerge/>
            <w:shd w:val="clear" w:color="auto" w:fill="F3F3F3"/>
          </w:tcPr>
          <w:p w14:paraId="634AC8B0"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4701FA5A"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ustaleniu lokalizacji regionalnej sieci szerokopasmowej</w:t>
            </w:r>
          </w:p>
        </w:tc>
        <w:tc>
          <w:tcPr>
            <w:tcW w:w="3118" w:type="dxa"/>
          </w:tcPr>
          <w:p w14:paraId="31EE368C" w14:textId="24E4A5E9"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56CF758" w14:textId="77777777" w:rsidTr="00A34C14">
        <w:trPr>
          <w:trHeight w:val="81"/>
        </w:trPr>
        <w:tc>
          <w:tcPr>
            <w:tcW w:w="2972" w:type="dxa"/>
            <w:vMerge/>
            <w:shd w:val="clear" w:color="auto" w:fill="F3F3F3"/>
          </w:tcPr>
          <w:p w14:paraId="5665DEFE"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1D28A432"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decyzja o ustaleniu lokalizacji inwestycji w zakresie Centralnego Portu Komunikacyjnego </w:t>
            </w:r>
          </w:p>
        </w:tc>
        <w:tc>
          <w:tcPr>
            <w:tcW w:w="3118" w:type="dxa"/>
          </w:tcPr>
          <w:p w14:paraId="3B2FD78C" w14:textId="36E2EFFC"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4EAAD49F" w14:textId="77777777" w:rsidTr="00A34C14">
        <w:trPr>
          <w:trHeight w:val="81"/>
        </w:trPr>
        <w:tc>
          <w:tcPr>
            <w:tcW w:w="2972" w:type="dxa"/>
            <w:vMerge/>
            <w:shd w:val="clear" w:color="auto" w:fill="F3F3F3"/>
          </w:tcPr>
          <w:p w14:paraId="3059AA82"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7AEF1843"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w:t>
            </w:r>
            <w:r>
              <w:rPr>
                <w:rFonts w:ascii="Times New Roman" w:eastAsia="Times New Roman" w:hAnsi="Times New Roman" w:cs="Times New Roman"/>
                <w:sz w:val="20"/>
                <w:szCs w:val="20"/>
              </w:rPr>
              <w:t xml:space="preserve"> </w:t>
            </w:r>
            <w:r w:rsidRPr="00EA1C22">
              <w:rPr>
                <w:rFonts w:ascii="Times New Roman" w:eastAsia="Times New Roman" w:hAnsi="Times New Roman" w:cs="Times New Roman"/>
                <w:sz w:val="20"/>
                <w:szCs w:val="20"/>
              </w:rPr>
              <w:t>o zezwoleniu na realizację</w:t>
            </w:r>
            <w:r>
              <w:rPr>
                <w:rFonts w:ascii="Times New Roman" w:eastAsia="Times New Roman" w:hAnsi="Times New Roman" w:cs="Times New Roman"/>
                <w:sz w:val="20"/>
                <w:szCs w:val="20"/>
              </w:rPr>
              <w:t xml:space="preserve"> </w:t>
            </w:r>
            <w:r w:rsidRPr="00EA1C22">
              <w:rPr>
                <w:rFonts w:ascii="Times New Roman" w:eastAsia="Times New Roman" w:hAnsi="Times New Roman" w:cs="Times New Roman"/>
                <w:sz w:val="20"/>
                <w:szCs w:val="20"/>
              </w:rPr>
              <w:t>inwestycji w zakresie infrastruktury dostępowej</w:t>
            </w:r>
          </w:p>
        </w:tc>
        <w:tc>
          <w:tcPr>
            <w:tcW w:w="3118" w:type="dxa"/>
          </w:tcPr>
          <w:p w14:paraId="4182B6C7" w14:textId="02272AB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64CCA1E" w14:textId="77777777" w:rsidTr="00A34C14">
        <w:trPr>
          <w:trHeight w:val="81"/>
        </w:trPr>
        <w:tc>
          <w:tcPr>
            <w:tcW w:w="2972" w:type="dxa"/>
            <w:vMerge/>
            <w:shd w:val="clear" w:color="auto" w:fill="F3F3F3"/>
          </w:tcPr>
          <w:p w14:paraId="0AABB9EC"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79084442"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decyzja o ustaleniu lokalizacji strategicznej inwestycji w sektorze naftowym</w:t>
            </w:r>
          </w:p>
        </w:tc>
        <w:tc>
          <w:tcPr>
            <w:tcW w:w="3118" w:type="dxa"/>
          </w:tcPr>
          <w:p w14:paraId="4D2F9AA7" w14:textId="27632A33"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11E5D16F" w14:textId="77777777" w:rsidTr="003669F6">
        <w:trPr>
          <w:trHeight w:val="390"/>
        </w:trPr>
        <w:tc>
          <w:tcPr>
            <w:tcW w:w="9634" w:type="dxa"/>
            <w:gridSpan w:val="3"/>
            <w:shd w:val="clear" w:color="auto" w:fill="D9D9D9"/>
          </w:tcPr>
          <w:p w14:paraId="3AF2A562" w14:textId="77777777" w:rsidR="00A85871" w:rsidRPr="00EA1C22" w:rsidRDefault="00A85871" w:rsidP="00A85871">
            <w:pPr>
              <w:spacing w:beforeLines="60" w:before="144" w:afterLines="60" w:after="144" w:line="240" w:lineRule="auto"/>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INFORMACJE DOTYCZĄCE BUDYNKU</w:t>
            </w:r>
          </w:p>
          <w:p w14:paraId="09BF7B32"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p>
        </w:tc>
      </w:tr>
      <w:tr w:rsidR="00A85871" w:rsidRPr="00EA1C22" w14:paraId="3F57E8C2" w14:textId="77777777" w:rsidTr="00A34C14">
        <w:trPr>
          <w:trHeight w:val="390"/>
        </w:trPr>
        <w:tc>
          <w:tcPr>
            <w:tcW w:w="2972" w:type="dxa"/>
            <w:shd w:val="clear" w:color="auto" w:fill="F3F3F3"/>
          </w:tcPr>
          <w:p w14:paraId="38A03F81" w14:textId="584D077B"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Czy jest pozwolenie na budowę</w:t>
            </w:r>
          </w:p>
        </w:tc>
        <w:tc>
          <w:tcPr>
            <w:tcW w:w="3544" w:type="dxa"/>
            <w:vAlign w:val="center"/>
          </w:tcPr>
          <w:p w14:paraId="76B109D5" w14:textId="5DFEC5FE" w:rsidR="00A85871" w:rsidRPr="00EA1C22" w:rsidRDefault="00B25391" w:rsidP="00A85871">
            <w:pPr>
              <w:spacing w:beforeLines="60" w:before="144" w:afterLines="60" w:after="144"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Tak</w:t>
            </w:r>
          </w:p>
        </w:tc>
        <w:tc>
          <w:tcPr>
            <w:tcW w:w="3118" w:type="dxa"/>
            <w:vAlign w:val="center"/>
          </w:tcPr>
          <w:p w14:paraId="00D325A5" w14:textId="712700F0" w:rsidR="00A85871" w:rsidRPr="00EA1C22" w:rsidRDefault="00A85871" w:rsidP="00A85871">
            <w:pPr>
              <w:spacing w:beforeLines="60" w:before="144" w:afterLines="60" w:after="144" w:line="240" w:lineRule="auto"/>
              <w:jc w:val="center"/>
              <w:rPr>
                <w:rFonts w:ascii="Times New Roman" w:eastAsia="Times New Roman" w:hAnsi="Times New Roman" w:cs="Times New Roman"/>
                <w:sz w:val="20"/>
                <w:szCs w:val="20"/>
              </w:rPr>
            </w:pPr>
          </w:p>
        </w:tc>
      </w:tr>
      <w:tr w:rsidR="00A85871" w:rsidRPr="00EA1C22" w14:paraId="37375352" w14:textId="77777777" w:rsidTr="00A34C14">
        <w:trPr>
          <w:trHeight w:val="390"/>
        </w:trPr>
        <w:tc>
          <w:tcPr>
            <w:tcW w:w="2972" w:type="dxa"/>
            <w:shd w:val="clear" w:color="auto" w:fill="F3F3F3"/>
          </w:tcPr>
          <w:p w14:paraId="2A892EB3"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Czy pozwolenie na budowę jest ostateczne</w:t>
            </w:r>
          </w:p>
        </w:tc>
        <w:tc>
          <w:tcPr>
            <w:tcW w:w="3544" w:type="dxa"/>
            <w:vAlign w:val="center"/>
          </w:tcPr>
          <w:p w14:paraId="6BD14E42" w14:textId="3F9AFA58" w:rsidR="00A85871" w:rsidRPr="00EA1C22" w:rsidRDefault="00B25391" w:rsidP="00A85871">
            <w:pPr>
              <w:spacing w:beforeLines="60" w:before="144" w:afterLines="60" w:after="144"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Tak</w:t>
            </w:r>
          </w:p>
        </w:tc>
        <w:tc>
          <w:tcPr>
            <w:tcW w:w="3118" w:type="dxa"/>
            <w:vAlign w:val="center"/>
          </w:tcPr>
          <w:p w14:paraId="57B433E2" w14:textId="77D2B5BB" w:rsidR="00A85871" w:rsidRPr="00EA1C22" w:rsidRDefault="00A85871" w:rsidP="00A85871">
            <w:pPr>
              <w:spacing w:beforeLines="60" w:before="144" w:afterLines="60" w:after="144" w:line="240" w:lineRule="auto"/>
              <w:jc w:val="center"/>
              <w:rPr>
                <w:rFonts w:ascii="Times New Roman" w:eastAsia="Times New Roman" w:hAnsi="Times New Roman" w:cs="Times New Roman"/>
                <w:sz w:val="20"/>
                <w:szCs w:val="20"/>
              </w:rPr>
            </w:pPr>
          </w:p>
        </w:tc>
      </w:tr>
      <w:tr w:rsidR="00A85871" w:rsidRPr="00EA1C22" w14:paraId="68467CD1" w14:textId="77777777" w:rsidTr="00A34C14">
        <w:trPr>
          <w:trHeight w:val="390"/>
        </w:trPr>
        <w:tc>
          <w:tcPr>
            <w:tcW w:w="2972" w:type="dxa"/>
            <w:shd w:val="clear" w:color="auto" w:fill="F3F3F3"/>
          </w:tcPr>
          <w:p w14:paraId="6084520B"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Czy pozwolenie na budowę jest zaskarżone</w:t>
            </w:r>
          </w:p>
        </w:tc>
        <w:tc>
          <w:tcPr>
            <w:tcW w:w="3544" w:type="dxa"/>
            <w:vAlign w:val="center"/>
          </w:tcPr>
          <w:p w14:paraId="4F4C675B" w14:textId="26CCF0DB" w:rsidR="00A85871" w:rsidRPr="00EA1C22" w:rsidRDefault="00A85871" w:rsidP="00A85871">
            <w:pPr>
              <w:spacing w:beforeLines="60" w:before="144" w:afterLines="60" w:after="144" w:line="240" w:lineRule="auto"/>
              <w:jc w:val="center"/>
              <w:rPr>
                <w:rFonts w:ascii="Times New Roman" w:eastAsia="Times New Roman" w:hAnsi="Times New Roman" w:cs="Times New Roman"/>
                <w:sz w:val="20"/>
                <w:szCs w:val="20"/>
              </w:rPr>
            </w:pPr>
          </w:p>
        </w:tc>
        <w:tc>
          <w:tcPr>
            <w:tcW w:w="3118" w:type="dxa"/>
            <w:vAlign w:val="center"/>
          </w:tcPr>
          <w:p w14:paraId="4125F576" w14:textId="6A394B52" w:rsidR="00A85871" w:rsidRPr="00EA1C22" w:rsidRDefault="00B25391" w:rsidP="00A85871">
            <w:pPr>
              <w:spacing w:beforeLines="60" w:before="144" w:afterLines="60" w:after="144"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Nie</w:t>
            </w:r>
          </w:p>
        </w:tc>
      </w:tr>
      <w:tr w:rsidR="00A85871" w:rsidRPr="00EA1C22" w14:paraId="400C7156" w14:textId="77777777" w:rsidTr="00A34C14">
        <w:trPr>
          <w:trHeight w:val="195"/>
        </w:trPr>
        <w:tc>
          <w:tcPr>
            <w:tcW w:w="2972" w:type="dxa"/>
            <w:shd w:val="clear" w:color="auto" w:fill="F3F3F3"/>
          </w:tcPr>
          <w:p w14:paraId="732F4CAB"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Numer pozwolenia na budowę oraz nazwa organu, który je wydał</w:t>
            </w:r>
          </w:p>
        </w:tc>
        <w:tc>
          <w:tcPr>
            <w:tcW w:w="6662" w:type="dxa"/>
            <w:gridSpan w:val="2"/>
          </w:tcPr>
          <w:p w14:paraId="789D27CA" w14:textId="3D726B54"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Decyzja  Nr  1</w:t>
            </w:r>
            <w:r w:rsidR="00DE55D2">
              <w:rPr>
                <w:rFonts w:ascii="Times New Roman" w:eastAsia="Times New Roman" w:hAnsi="Times New Roman" w:cs="Times New Roman"/>
                <w:sz w:val="20"/>
                <w:szCs w:val="20"/>
              </w:rPr>
              <w:t>500</w:t>
            </w:r>
            <w:r>
              <w:rPr>
                <w:rFonts w:ascii="Times New Roman" w:eastAsia="Times New Roman" w:hAnsi="Times New Roman" w:cs="Times New Roman"/>
                <w:sz w:val="20"/>
                <w:szCs w:val="20"/>
              </w:rPr>
              <w:t>/2025 Starosta Częstochowski</w:t>
            </w:r>
          </w:p>
        </w:tc>
      </w:tr>
      <w:tr w:rsidR="00A85871" w:rsidRPr="00EA1C22" w14:paraId="31442A73" w14:textId="77777777" w:rsidTr="00A34C14">
        <w:trPr>
          <w:trHeight w:val="195"/>
        </w:trPr>
        <w:tc>
          <w:tcPr>
            <w:tcW w:w="2972" w:type="dxa"/>
            <w:shd w:val="clear" w:color="auto" w:fill="F3F3F3"/>
          </w:tcPr>
          <w:p w14:paraId="3864BAF2"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Data uprawomocnienia się decyzji o pozwoleniu na użytkowanie budynku</w:t>
            </w:r>
          </w:p>
        </w:tc>
        <w:tc>
          <w:tcPr>
            <w:tcW w:w="6662" w:type="dxa"/>
            <w:gridSpan w:val="2"/>
          </w:tcPr>
          <w:p w14:paraId="0B64B36E" w14:textId="35ED5E6B"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A85871" w:rsidRPr="00EA1C22" w14:paraId="24D77BA5" w14:textId="77777777" w:rsidTr="00A34C14">
        <w:trPr>
          <w:trHeight w:val="195"/>
        </w:trPr>
        <w:tc>
          <w:tcPr>
            <w:tcW w:w="2972" w:type="dxa"/>
            <w:shd w:val="clear" w:color="auto" w:fill="F3F3F3"/>
          </w:tcPr>
          <w:p w14:paraId="25582E89" w14:textId="470B0A62" w:rsidR="00A85871" w:rsidRPr="00EA1C22" w:rsidRDefault="00E911E1" w:rsidP="00A85871">
            <w:pPr>
              <w:spacing w:beforeLines="60" w:before="144" w:afterLines="60" w:after="144" w:line="240" w:lineRule="auto"/>
              <w:rPr>
                <w:rFonts w:ascii="Times New Roman" w:eastAsia="Times New Roman" w:hAnsi="Times New Roman" w:cs="Times New Roman"/>
                <w:sz w:val="20"/>
                <w:szCs w:val="20"/>
              </w:rPr>
            </w:pPr>
            <w:r w:rsidRPr="00E911E1">
              <w:rPr>
                <w:rFonts w:ascii="Times New Roman" w:eastAsia="Times New Roman" w:hAnsi="Times New Roman" w:cs="Times New Roman"/>
                <w:sz w:val="20"/>
                <w:szCs w:val="20"/>
              </w:rPr>
              <w:t>Numer zgłoszenia budowy, o której mowa w art. 29 ust. 1 pkt 1 ustawy z dnia 7 lipca 1994 r. – Prawo budowlane (Dz. U. z 2023 r. poz. 682, z późn. zm.), oraz oznaczenie organu, do którego dokonano zgłoszenia, wraz z informacją o braku wniesienia sprzeciwu przez ten organ</w:t>
            </w:r>
          </w:p>
        </w:tc>
        <w:tc>
          <w:tcPr>
            <w:tcW w:w="6662" w:type="dxa"/>
            <w:gridSpan w:val="2"/>
          </w:tcPr>
          <w:p w14:paraId="42FDFCC9" w14:textId="23FF0EC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A85871" w:rsidRPr="00EA1C22" w14:paraId="11EB070F" w14:textId="77777777" w:rsidTr="00A34C14">
        <w:trPr>
          <w:trHeight w:val="195"/>
        </w:trPr>
        <w:tc>
          <w:tcPr>
            <w:tcW w:w="2972" w:type="dxa"/>
            <w:shd w:val="clear" w:color="auto" w:fill="F3F3F3"/>
          </w:tcPr>
          <w:p w14:paraId="4689963C" w14:textId="28AA7489" w:rsidR="00A85871" w:rsidRPr="009E3AD9"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zakończenia budowy domu jednorodzinnego </w:t>
            </w:r>
          </w:p>
        </w:tc>
        <w:tc>
          <w:tcPr>
            <w:tcW w:w="6662" w:type="dxa"/>
            <w:gridSpan w:val="2"/>
          </w:tcPr>
          <w:p w14:paraId="27556406" w14:textId="0D0FEF3F"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A85871" w:rsidRPr="00EA1C22" w14:paraId="0BB97EC7" w14:textId="77777777" w:rsidTr="00A34C14">
        <w:trPr>
          <w:trHeight w:val="195"/>
        </w:trPr>
        <w:tc>
          <w:tcPr>
            <w:tcW w:w="2972" w:type="dxa"/>
            <w:shd w:val="clear" w:color="auto" w:fill="F3F3F3"/>
          </w:tcPr>
          <w:p w14:paraId="58F5549F" w14:textId="2E4581F1" w:rsidR="00A85871" w:rsidRPr="009E3AD9"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Planowany termin rozpoczęcia i zakończenia robót budowlanych</w:t>
            </w:r>
          </w:p>
        </w:tc>
        <w:tc>
          <w:tcPr>
            <w:tcW w:w="6662" w:type="dxa"/>
            <w:gridSpan w:val="2"/>
          </w:tcPr>
          <w:p w14:paraId="56BC2A8E" w14:textId="65131096" w:rsidR="00A85871" w:rsidRPr="00EA1C22" w:rsidRDefault="00DE55D2"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Grudzień</w:t>
            </w:r>
            <w:r w:rsidR="00B25391">
              <w:rPr>
                <w:rFonts w:ascii="Times New Roman" w:eastAsia="Times New Roman" w:hAnsi="Times New Roman" w:cs="Times New Roman"/>
                <w:sz w:val="20"/>
                <w:szCs w:val="20"/>
              </w:rPr>
              <w:t xml:space="preserve"> 2025r     </w:t>
            </w:r>
            <w:r w:rsidR="00744C82">
              <w:rPr>
                <w:rFonts w:ascii="Times New Roman" w:eastAsia="Times New Roman" w:hAnsi="Times New Roman" w:cs="Times New Roman"/>
                <w:sz w:val="20"/>
                <w:szCs w:val="20"/>
              </w:rPr>
              <w:t>Październik</w:t>
            </w:r>
            <w:r w:rsidR="00B25391">
              <w:rPr>
                <w:rFonts w:ascii="Times New Roman" w:eastAsia="Times New Roman" w:hAnsi="Times New Roman" w:cs="Times New Roman"/>
                <w:sz w:val="20"/>
                <w:szCs w:val="20"/>
              </w:rPr>
              <w:t xml:space="preserve"> 2026r</w:t>
            </w:r>
          </w:p>
        </w:tc>
      </w:tr>
      <w:tr w:rsidR="00A85871" w:rsidRPr="00EA1C22" w14:paraId="05167BB4" w14:textId="77777777" w:rsidTr="00A34C14">
        <w:trPr>
          <w:trHeight w:val="325"/>
        </w:trPr>
        <w:tc>
          <w:tcPr>
            <w:tcW w:w="2972" w:type="dxa"/>
            <w:vMerge w:val="restart"/>
            <w:shd w:val="clear" w:color="auto" w:fill="F3F3F3"/>
          </w:tcPr>
          <w:p w14:paraId="2F8920E6"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p w14:paraId="3ABFE136" w14:textId="76CF952A"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Opis przedsięwzięcia deweloperskiego </w:t>
            </w:r>
            <w:r>
              <w:rPr>
                <w:rFonts w:ascii="Times New Roman" w:eastAsia="Times New Roman" w:hAnsi="Times New Roman" w:cs="Times New Roman"/>
                <w:sz w:val="20"/>
                <w:szCs w:val="20"/>
              </w:rPr>
              <w:t>lub</w:t>
            </w:r>
            <w:r w:rsidRPr="00EA1C22">
              <w:rPr>
                <w:rFonts w:ascii="Times New Roman" w:eastAsia="Times New Roman" w:hAnsi="Times New Roman" w:cs="Times New Roman"/>
                <w:sz w:val="20"/>
                <w:szCs w:val="20"/>
              </w:rPr>
              <w:t xml:space="preserve"> zadania inwestycyjnego</w:t>
            </w:r>
          </w:p>
          <w:p w14:paraId="6E2FB44C"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3724C617"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Liczba budynków </w:t>
            </w:r>
          </w:p>
        </w:tc>
        <w:tc>
          <w:tcPr>
            <w:tcW w:w="3118" w:type="dxa"/>
          </w:tcPr>
          <w:p w14:paraId="05B68B44" w14:textId="70B82145" w:rsidR="00A85871"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 działce </w:t>
            </w:r>
            <w:r w:rsidR="00DE55D2">
              <w:rPr>
                <w:rFonts w:ascii="Times New Roman" w:eastAsia="Times New Roman" w:hAnsi="Times New Roman" w:cs="Times New Roman"/>
                <w:sz w:val="20"/>
                <w:szCs w:val="20"/>
              </w:rPr>
              <w:t>233 234 268</w:t>
            </w:r>
            <w:r>
              <w:rPr>
                <w:rFonts w:ascii="Times New Roman" w:eastAsia="Times New Roman" w:hAnsi="Times New Roman" w:cs="Times New Roman"/>
                <w:sz w:val="20"/>
                <w:szCs w:val="20"/>
              </w:rPr>
              <w:t xml:space="preserve"> wybudowane zostaną </w:t>
            </w:r>
            <w:r w:rsidR="00DE55D2">
              <w:rPr>
                <w:rFonts w:ascii="Times New Roman" w:eastAsia="Times New Roman" w:hAnsi="Times New Roman" w:cs="Times New Roman"/>
                <w:sz w:val="20"/>
                <w:szCs w:val="20"/>
              </w:rPr>
              <w:t>2</w:t>
            </w:r>
            <w:r>
              <w:rPr>
                <w:rFonts w:ascii="Times New Roman" w:eastAsia="Times New Roman" w:hAnsi="Times New Roman" w:cs="Times New Roman"/>
                <w:sz w:val="20"/>
                <w:szCs w:val="20"/>
              </w:rPr>
              <w:t xml:space="preserve"> budynki mieszkalne jednorodzinne w zabudowie bliźniaczej dwu lokalowe</w:t>
            </w:r>
            <w:r w:rsidR="00DE55D2">
              <w:rPr>
                <w:rFonts w:ascii="Times New Roman" w:eastAsia="Times New Roman" w:hAnsi="Times New Roman" w:cs="Times New Roman"/>
                <w:sz w:val="20"/>
                <w:szCs w:val="20"/>
              </w:rPr>
              <w:t xml:space="preserve"> oraz 5 budynków jednorodzinnych wolno stojących</w:t>
            </w:r>
            <w:r>
              <w:rPr>
                <w:rFonts w:ascii="Times New Roman" w:eastAsia="Times New Roman" w:hAnsi="Times New Roman" w:cs="Times New Roman"/>
                <w:sz w:val="20"/>
                <w:szCs w:val="20"/>
              </w:rPr>
              <w:t>.</w:t>
            </w:r>
          </w:p>
          <w:p w14:paraId="18D02B36" w14:textId="69E333FC" w:rsidR="00FC0CDD"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Przedsięwzięcie deweloperskie obejmuje budowę </w:t>
            </w:r>
            <w:r w:rsidR="00DE55D2">
              <w:rPr>
                <w:rFonts w:ascii="Times New Roman" w:eastAsia="Times New Roman" w:hAnsi="Times New Roman" w:cs="Times New Roman"/>
                <w:sz w:val="20"/>
                <w:szCs w:val="20"/>
              </w:rPr>
              <w:t>2</w:t>
            </w:r>
            <w:r>
              <w:rPr>
                <w:rFonts w:ascii="Times New Roman" w:eastAsia="Times New Roman" w:hAnsi="Times New Roman" w:cs="Times New Roman"/>
                <w:sz w:val="20"/>
                <w:szCs w:val="20"/>
              </w:rPr>
              <w:t xml:space="preserve"> budynków mieszkalnych jednorodzinnych </w:t>
            </w:r>
            <w:r w:rsidR="00DE55D2">
              <w:rPr>
                <w:rFonts w:ascii="Times New Roman" w:eastAsia="Times New Roman" w:hAnsi="Times New Roman" w:cs="Times New Roman"/>
                <w:sz w:val="20"/>
                <w:szCs w:val="20"/>
              </w:rPr>
              <w:t>wolno stojących</w:t>
            </w:r>
            <w:r>
              <w:rPr>
                <w:rFonts w:ascii="Times New Roman" w:eastAsia="Times New Roman" w:hAnsi="Times New Roman" w:cs="Times New Roman"/>
                <w:sz w:val="20"/>
                <w:szCs w:val="20"/>
              </w:rPr>
              <w:t xml:space="preserve"> oznaczonych w projekcie numerem 1,4</w:t>
            </w:r>
          </w:p>
        </w:tc>
      </w:tr>
      <w:tr w:rsidR="00A85871" w:rsidRPr="00EA1C22" w14:paraId="70F64801" w14:textId="77777777" w:rsidTr="00A34C14">
        <w:trPr>
          <w:trHeight w:val="325"/>
        </w:trPr>
        <w:tc>
          <w:tcPr>
            <w:tcW w:w="2972" w:type="dxa"/>
            <w:vMerge/>
            <w:shd w:val="clear" w:color="auto" w:fill="F3F3F3"/>
          </w:tcPr>
          <w:p w14:paraId="4A946E00"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3B4CC606"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Rozmieszczenie budynków na nieruchomości (należy podać minimalny odstęp między budynkami)</w:t>
            </w:r>
          </w:p>
        </w:tc>
        <w:tc>
          <w:tcPr>
            <w:tcW w:w="3118" w:type="dxa"/>
          </w:tcPr>
          <w:p w14:paraId="6BDAC8B9" w14:textId="77777777" w:rsidR="00A85871"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Zabudowa jednorodzinna wolno stojąca</w:t>
            </w:r>
          </w:p>
          <w:p w14:paraId="0B55ADB9" w14:textId="1B63E1EA" w:rsidR="00FC0CDD"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Odległość min 4,0m od sąsiednich działek</w:t>
            </w:r>
          </w:p>
        </w:tc>
      </w:tr>
      <w:tr w:rsidR="00A85871" w:rsidRPr="00EA1C22" w14:paraId="7AEAE62C" w14:textId="77777777" w:rsidTr="00A34C14">
        <w:trPr>
          <w:trHeight w:val="488"/>
        </w:trPr>
        <w:tc>
          <w:tcPr>
            <w:tcW w:w="2972" w:type="dxa"/>
            <w:shd w:val="clear" w:color="auto" w:fill="F3F3F3"/>
          </w:tcPr>
          <w:p w14:paraId="3335383D"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Sposób pomiaru powierzchni użytkowej</w:t>
            </w:r>
            <w:r>
              <w:rPr>
                <w:rFonts w:ascii="Times New Roman" w:eastAsia="Times New Roman" w:hAnsi="Times New Roman" w:cs="Times New Roman"/>
                <w:sz w:val="20"/>
                <w:szCs w:val="20"/>
              </w:rPr>
              <w:t xml:space="preserve"> </w:t>
            </w:r>
            <w:r w:rsidRPr="00EA1C22">
              <w:rPr>
                <w:rFonts w:ascii="Times New Roman" w:eastAsia="Times New Roman" w:hAnsi="Times New Roman" w:cs="Times New Roman"/>
                <w:sz w:val="20"/>
                <w:szCs w:val="20"/>
              </w:rPr>
              <w:t>lokalu mieszkalnego albo domu jednorodzinnego</w:t>
            </w:r>
          </w:p>
        </w:tc>
        <w:tc>
          <w:tcPr>
            <w:tcW w:w="6662" w:type="dxa"/>
            <w:gridSpan w:val="2"/>
          </w:tcPr>
          <w:p w14:paraId="51350E00" w14:textId="77777777" w:rsidR="00A85871"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Powierzchnię użytkową określono wg normy PN-ISO 9836:2022-07</w:t>
            </w:r>
          </w:p>
          <w:p w14:paraId="68D8FC19" w14:textId="4836754C" w:rsidR="00FC0CDD"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Pow. użytkowa </w:t>
            </w:r>
            <w:r w:rsidR="00DE55D2">
              <w:rPr>
                <w:rFonts w:ascii="Times New Roman" w:eastAsia="Times New Roman" w:hAnsi="Times New Roman" w:cs="Times New Roman"/>
                <w:sz w:val="20"/>
                <w:szCs w:val="20"/>
              </w:rPr>
              <w:t>budynek 1</w:t>
            </w:r>
            <w:r>
              <w:rPr>
                <w:rFonts w:ascii="Times New Roman" w:eastAsia="Times New Roman" w:hAnsi="Times New Roman" w:cs="Times New Roman"/>
                <w:sz w:val="20"/>
                <w:szCs w:val="20"/>
              </w:rPr>
              <w:t xml:space="preserve"> </w:t>
            </w:r>
            <w:r w:rsidR="001D6AF7">
              <w:rPr>
                <w:rFonts w:ascii="Times New Roman" w:eastAsia="Times New Roman" w:hAnsi="Times New Roman" w:cs="Times New Roman"/>
                <w:sz w:val="20"/>
                <w:szCs w:val="20"/>
              </w:rPr>
              <w:t xml:space="preserve">   146,29 </w:t>
            </w:r>
            <w:r>
              <w:rPr>
                <w:rFonts w:ascii="Times New Roman" w:eastAsia="Times New Roman" w:hAnsi="Times New Roman" w:cs="Times New Roman"/>
                <w:sz w:val="20"/>
                <w:szCs w:val="20"/>
              </w:rPr>
              <w:t>m2</w:t>
            </w:r>
          </w:p>
          <w:p w14:paraId="1BBB48F7" w14:textId="333A7F4A" w:rsidR="00FC0CDD"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Pow. użytkowa </w:t>
            </w:r>
            <w:r w:rsidR="00DE55D2">
              <w:rPr>
                <w:rFonts w:ascii="Times New Roman" w:eastAsia="Times New Roman" w:hAnsi="Times New Roman" w:cs="Times New Roman"/>
                <w:sz w:val="20"/>
                <w:szCs w:val="20"/>
              </w:rPr>
              <w:t xml:space="preserve">budynek </w:t>
            </w:r>
            <w:r w:rsidR="001D6AF7">
              <w:rPr>
                <w:rFonts w:ascii="Times New Roman" w:eastAsia="Times New Roman" w:hAnsi="Times New Roman" w:cs="Times New Roman"/>
                <w:sz w:val="20"/>
                <w:szCs w:val="20"/>
              </w:rPr>
              <w:t>4</w:t>
            </w:r>
            <w:r>
              <w:rPr>
                <w:rFonts w:ascii="Times New Roman" w:eastAsia="Times New Roman" w:hAnsi="Times New Roman" w:cs="Times New Roman"/>
                <w:sz w:val="20"/>
                <w:szCs w:val="20"/>
              </w:rPr>
              <w:t xml:space="preserve"> </w:t>
            </w:r>
            <w:r w:rsidR="001D6AF7">
              <w:rPr>
                <w:rFonts w:ascii="Times New Roman" w:eastAsia="Times New Roman" w:hAnsi="Times New Roman" w:cs="Times New Roman"/>
                <w:sz w:val="20"/>
                <w:szCs w:val="20"/>
              </w:rPr>
              <w:t xml:space="preserve">   125,16 </w:t>
            </w:r>
            <w:r>
              <w:rPr>
                <w:rFonts w:ascii="Times New Roman" w:eastAsia="Times New Roman" w:hAnsi="Times New Roman" w:cs="Times New Roman"/>
                <w:sz w:val="20"/>
                <w:szCs w:val="20"/>
              </w:rPr>
              <w:t>m2</w:t>
            </w:r>
          </w:p>
        </w:tc>
      </w:tr>
      <w:tr w:rsidR="00A85871" w:rsidRPr="00EA1C22" w14:paraId="20302393" w14:textId="77777777" w:rsidTr="00A34C14">
        <w:tc>
          <w:tcPr>
            <w:tcW w:w="2972" w:type="dxa"/>
            <w:vMerge w:val="restart"/>
            <w:shd w:val="clear" w:color="auto" w:fill="F3F3F3"/>
          </w:tcPr>
          <w:p w14:paraId="208D19E7"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Zamierzony sposób i procentowy udział źródeł finansowania przedsięwzięcia deweloperskiego lub zadania inwestycyjnego</w:t>
            </w:r>
          </w:p>
          <w:p w14:paraId="60276664"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6290025D" w14:textId="77777777" w:rsidR="00A85871" w:rsidRPr="00EA1C22" w:rsidDel="00E703EC"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Rodzaj posiadanych środków finansowych – kredyt, środki własne, inne</w:t>
            </w:r>
          </w:p>
        </w:tc>
        <w:tc>
          <w:tcPr>
            <w:tcW w:w="3118" w:type="dxa"/>
          </w:tcPr>
          <w:p w14:paraId="49B7832D" w14:textId="55A6029B" w:rsidR="00A85871"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Środki własne</w:t>
            </w:r>
          </w:p>
        </w:tc>
      </w:tr>
      <w:tr w:rsidR="00A85871" w:rsidRPr="00EA1C22" w14:paraId="454A7E6F" w14:textId="77777777" w:rsidTr="00A34C14">
        <w:tc>
          <w:tcPr>
            <w:tcW w:w="2972" w:type="dxa"/>
            <w:vMerge/>
            <w:shd w:val="clear" w:color="auto" w:fill="F3F3F3"/>
          </w:tcPr>
          <w:p w14:paraId="71D18A27"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0EADEC83"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W następujących instytucjach finansowych (wypełnia się w przypadku kredytu)</w:t>
            </w:r>
          </w:p>
        </w:tc>
        <w:tc>
          <w:tcPr>
            <w:tcW w:w="3118" w:type="dxa"/>
          </w:tcPr>
          <w:p w14:paraId="41571842" w14:textId="754D4424" w:rsidR="00A85871"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A85871" w:rsidRPr="00EA1C22" w14:paraId="5C6654C3" w14:textId="77777777" w:rsidTr="00A34C14">
        <w:trPr>
          <w:trHeight w:val="711"/>
        </w:trPr>
        <w:tc>
          <w:tcPr>
            <w:tcW w:w="2972" w:type="dxa"/>
            <w:vMerge w:val="restart"/>
            <w:shd w:val="clear" w:color="auto" w:fill="F3F3F3"/>
          </w:tcPr>
          <w:p w14:paraId="55E135B9"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Środki ochrony nabywców</w:t>
            </w:r>
          </w:p>
        </w:tc>
        <w:tc>
          <w:tcPr>
            <w:tcW w:w="3544" w:type="dxa"/>
          </w:tcPr>
          <w:p w14:paraId="3BD6EC66" w14:textId="7F976E5E"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Otwarty mieszkaniowy rachunek powierniczy*</w:t>
            </w:r>
          </w:p>
        </w:tc>
        <w:tc>
          <w:tcPr>
            <w:tcW w:w="3118" w:type="dxa"/>
          </w:tcPr>
          <w:p w14:paraId="3F37D800" w14:textId="4734A671" w:rsidR="00A85871" w:rsidRPr="00EA1C22"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Otwarty mieszkaniowy rachunek powierniczy</w:t>
            </w:r>
          </w:p>
        </w:tc>
      </w:tr>
      <w:tr w:rsidR="00A85871" w:rsidRPr="00EA1C22" w14:paraId="0BAB6FB2" w14:textId="77777777" w:rsidTr="00A34C14">
        <w:tc>
          <w:tcPr>
            <w:tcW w:w="2972" w:type="dxa"/>
            <w:vMerge/>
            <w:shd w:val="clear" w:color="auto" w:fill="F3F3F3"/>
          </w:tcPr>
          <w:p w14:paraId="5CCE91BB"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7BB9AB6A" w14:textId="7AF1A1B6"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Wysokość stawki procentowej, według której jest obliczana kwota składki na Deweloperski Fundusz Gwarancyjny</w:t>
            </w:r>
            <w:r>
              <w:rPr>
                <w:rStyle w:val="Odwoanieprzypisudolnego"/>
                <w:rFonts w:ascii="Times New Roman" w:eastAsia="Times New Roman" w:hAnsi="Times New Roman"/>
                <w:sz w:val="20"/>
                <w:szCs w:val="20"/>
              </w:rPr>
              <w:footnoteReference w:customMarkFollows="1" w:id="7"/>
              <w:t>7)</w:t>
            </w:r>
            <w:r w:rsidRPr="00EA1C22">
              <w:rPr>
                <w:rFonts w:ascii="Times New Roman" w:eastAsia="Times New Roman" w:hAnsi="Times New Roman" w:cs="Times New Roman"/>
                <w:sz w:val="20"/>
                <w:szCs w:val="20"/>
              </w:rPr>
              <w:t xml:space="preserve"> </w:t>
            </w:r>
          </w:p>
        </w:tc>
        <w:tc>
          <w:tcPr>
            <w:tcW w:w="3118" w:type="dxa"/>
          </w:tcPr>
          <w:p w14:paraId="1CF204B6" w14:textId="08ABE923" w:rsidR="00A85871"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r>
      <w:tr w:rsidR="00A85871" w:rsidRPr="00EA1C22" w14:paraId="100B5C1B" w14:textId="77777777" w:rsidTr="00A34C14">
        <w:tc>
          <w:tcPr>
            <w:tcW w:w="2972" w:type="dxa"/>
            <w:shd w:val="clear" w:color="auto" w:fill="F3F3F3"/>
          </w:tcPr>
          <w:p w14:paraId="4AE8AE45"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Główne zasady funkcjonowania wybranego rodzaju zabezpieczenia środków nabywcy</w:t>
            </w:r>
          </w:p>
        </w:tc>
        <w:tc>
          <w:tcPr>
            <w:tcW w:w="6662" w:type="dxa"/>
            <w:gridSpan w:val="2"/>
          </w:tcPr>
          <w:p w14:paraId="5B726628" w14:textId="47CC97EB" w:rsidR="00A85871"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Rachunek powierniczy otwarty- otwarty rachunek powierniczy służyć będzie do gromadzenia i przechowywania środków pieniężnych powierzonych przez Nabywców na podstawie umowy deweloperskiej. Nabywca będzie posiadał indywidualny numer rachunku.</w:t>
            </w:r>
          </w:p>
          <w:p w14:paraId="3381D608" w14:textId="7E782CA2" w:rsidR="00FC0CDD"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Bank wypłaca Deweloperowi środki pieniężne </w:t>
            </w:r>
            <w:r w:rsidR="00ED7883">
              <w:rPr>
                <w:rFonts w:ascii="Times New Roman" w:eastAsia="Times New Roman" w:hAnsi="Times New Roman" w:cs="Times New Roman"/>
                <w:sz w:val="20"/>
                <w:szCs w:val="20"/>
              </w:rPr>
              <w:t>wpłacone przez Nabywcę na otwarty Rachunek Powierniczy po stwierdzeniu zakończenia etapu realizacji przedsięwzięcia deweloperskiego. Bank dokonuje kontroli zakończenia każdego z etapów przedsięwzięcia deweloperskiego określonego w harmonogramie. Przed dokonaniem wypłaty z otwartego mieszkaniowego rachunku powierniczego na rzecz dewelopera i po potwierdzeniu przez wyznaczoną przez Bank osobę posiadającą odpowiednie uprawnienia budowlane.</w:t>
            </w:r>
          </w:p>
          <w:p w14:paraId="4EC5E53F"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p w14:paraId="18F87E20"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r>
      <w:tr w:rsidR="00A85871" w:rsidRPr="00EA1C22" w14:paraId="1554135C" w14:textId="77777777" w:rsidTr="00A34C14">
        <w:trPr>
          <w:trHeight w:val="293"/>
        </w:trPr>
        <w:tc>
          <w:tcPr>
            <w:tcW w:w="2972" w:type="dxa"/>
            <w:shd w:val="clear" w:color="auto" w:fill="F3F3F3"/>
          </w:tcPr>
          <w:p w14:paraId="1ED9406B"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Nazwa instytucji zapewniającej bezpieczeństwo środków nabywcy</w:t>
            </w:r>
          </w:p>
        </w:tc>
        <w:tc>
          <w:tcPr>
            <w:tcW w:w="6662" w:type="dxa"/>
            <w:gridSpan w:val="2"/>
          </w:tcPr>
          <w:p w14:paraId="21041613" w14:textId="77777777" w:rsidR="00A85871" w:rsidRDefault="00ED7883"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ING Bank Śląski S.A. z siedzibą w Katowicach przy ul.Sokolskiej 34  </w:t>
            </w:r>
          </w:p>
          <w:p w14:paraId="0F88FCBA" w14:textId="50F7E5E2" w:rsidR="00ED7883" w:rsidRPr="00EA1C22" w:rsidRDefault="00ED7883"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40-086 Katowice</w:t>
            </w:r>
          </w:p>
        </w:tc>
      </w:tr>
      <w:tr w:rsidR="00A85871" w:rsidRPr="00EA1C22" w14:paraId="1D765735" w14:textId="77777777" w:rsidTr="00A34C14">
        <w:trPr>
          <w:trHeight w:val="488"/>
        </w:trPr>
        <w:tc>
          <w:tcPr>
            <w:tcW w:w="2972" w:type="dxa"/>
            <w:shd w:val="clear" w:color="auto" w:fill="F3F3F3"/>
          </w:tcPr>
          <w:p w14:paraId="55777534"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Harmonogram przedsięwzięcia deweloperskiego lub</w:t>
            </w:r>
            <w:r>
              <w:rPr>
                <w:rFonts w:ascii="Times New Roman" w:eastAsia="Times New Roman" w:hAnsi="Times New Roman" w:cs="Times New Roman"/>
                <w:sz w:val="20"/>
                <w:szCs w:val="20"/>
              </w:rPr>
              <w:t xml:space="preserve"> </w:t>
            </w:r>
            <w:r w:rsidRPr="00EA1C22">
              <w:rPr>
                <w:rFonts w:ascii="Times New Roman" w:eastAsia="Times New Roman" w:hAnsi="Times New Roman" w:cs="Times New Roman"/>
                <w:sz w:val="20"/>
                <w:szCs w:val="20"/>
              </w:rPr>
              <w:t>zadania inwestycyjnego</w:t>
            </w:r>
          </w:p>
        </w:tc>
        <w:tc>
          <w:tcPr>
            <w:tcW w:w="6662" w:type="dxa"/>
            <w:gridSpan w:val="2"/>
          </w:tcPr>
          <w:p w14:paraId="03DC8040" w14:textId="77777777" w:rsidR="00A85871" w:rsidRDefault="00ED7883"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Harmonogram przedsięwzięcia deweloperskiego </w:t>
            </w:r>
          </w:p>
          <w:p w14:paraId="17009232" w14:textId="24EABFF0"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Etap I – projekt zagospodarowania terenu oraz architektoniczno – budowlany i uzyskanie decyzji o pozwoleniu na budowę, rozpoczęcie robót budowlanych, przygotowanie terenu, wykop pod budynek, wykonanie fundamentów – 25% ceny zakupu do </w:t>
            </w:r>
            <w:r w:rsidR="00DE55D2">
              <w:rPr>
                <w:rFonts w:ascii="Times New Roman" w:eastAsia="Times New Roman" w:hAnsi="Times New Roman" w:cs="Times New Roman"/>
                <w:sz w:val="20"/>
                <w:szCs w:val="20"/>
              </w:rPr>
              <w:t>12</w:t>
            </w:r>
            <w:r>
              <w:rPr>
                <w:rFonts w:ascii="Times New Roman" w:eastAsia="Times New Roman" w:hAnsi="Times New Roman" w:cs="Times New Roman"/>
                <w:sz w:val="20"/>
                <w:szCs w:val="20"/>
              </w:rPr>
              <w:t>.</w:t>
            </w:r>
            <w:r w:rsidR="00DE55D2">
              <w:rPr>
                <w:rFonts w:ascii="Times New Roman" w:eastAsia="Times New Roman" w:hAnsi="Times New Roman" w:cs="Times New Roman"/>
                <w:sz w:val="20"/>
                <w:szCs w:val="20"/>
              </w:rPr>
              <w:t>01</w:t>
            </w:r>
            <w:r>
              <w:rPr>
                <w:rFonts w:ascii="Times New Roman" w:eastAsia="Times New Roman" w:hAnsi="Times New Roman" w:cs="Times New Roman"/>
                <w:sz w:val="20"/>
                <w:szCs w:val="20"/>
              </w:rPr>
              <w:t>.202</w:t>
            </w:r>
            <w:r w:rsidR="00DE55D2">
              <w:rPr>
                <w:rFonts w:ascii="Times New Roman" w:eastAsia="Times New Roman" w:hAnsi="Times New Roman" w:cs="Times New Roman"/>
                <w:sz w:val="20"/>
                <w:szCs w:val="20"/>
              </w:rPr>
              <w:t>6</w:t>
            </w:r>
            <w:r>
              <w:rPr>
                <w:rFonts w:ascii="Times New Roman" w:eastAsia="Times New Roman" w:hAnsi="Times New Roman" w:cs="Times New Roman"/>
                <w:sz w:val="20"/>
                <w:szCs w:val="20"/>
              </w:rPr>
              <w:t>r</w:t>
            </w:r>
          </w:p>
          <w:p w14:paraId="37A2F076" w14:textId="0625CD99"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Etap II – wykonanie ścian zewnętrznych i nośnych parteru z pustaka ceramicznego, schody betonowe, strop nad parterem, ściany nośne poddasza – 25% ceny zakupu do 20.0</w:t>
            </w:r>
            <w:r w:rsidR="00DE55D2">
              <w:rPr>
                <w:rFonts w:ascii="Times New Roman" w:eastAsia="Times New Roman" w:hAnsi="Times New Roman" w:cs="Times New Roman"/>
                <w:sz w:val="20"/>
                <w:szCs w:val="20"/>
              </w:rPr>
              <w:t>2</w:t>
            </w:r>
            <w:r>
              <w:rPr>
                <w:rFonts w:ascii="Times New Roman" w:eastAsia="Times New Roman" w:hAnsi="Times New Roman" w:cs="Times New Roman"/>
                <w:sz w:val="20"/>
                <w:szCs w:val="20"/>
              </w:rPr>
              <w:t>.2026r</w:t>
            </w:r>
          </w:p>
          <w:p w14:paraId="306B87C9" w14:textId="727725E4"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Etap III – konstrukcja i pokrycie dachu bez warstw izolacyjnych, kominy spalinowe i wentylacyjne – 15% ceny zakupu do 30.0</w:t>
            </w:r>
            <w:r w:rsidR="00DE55D2">
              <w:rPr>
                <w:rFonts w:ascii="Times New Roman" w:eastAsia="Times New Roman" w:hAnsi="Times New Roman" w:cs="Times New Roman"/>
                <w:sz w:val="20"/>
                <w:szCs w:val="20"/>
              </w:rPr>
              <w:t>3</w:t>
            </w:r>
            <w:r>
              <w:rPr>
                <w:rFonts w:ascii="Times New Roman" w:eastAsia="Times New Roman" w:hAnsi="Times New Roman" w:cs="Times New Roman"/>
                <w:sz w:val="20"/>
                <w:szCs w:val="20"/>
              </w:rPr>
              <w:t>.2026r</w:t>
            </w:r>
          </w:p>
          <w:p w14:paraId="4C85A237" w14:textId="7BB6573F"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Etap IV – stan surowy zamknięty stolarka okienna, ścianki działowe instalacje podtynkowe, drzwi zewnętrzne 10% ceny zakupu do 30.04.2026r</w:t>
            </w:r>
          </w:p>
          <w:p w14:paraId="495850FF" w14:textId="69671629"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Etap</w:t>
            </w:r>
            <w:r w:rsidR="00564C6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V – tynki i posadzki wewnętrzne docieplenie ścian zewnętrznych – 15% ceny zakupu do 30.06.2026r</w:t>
            </w:r>
          </w:p>
          <w:p w14:paraId="62D8425A" w14:textId="09A9AF0D" w:rsidR="007A1A8C" w:rsidRPr="00EA1C22"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Etap VI – tynki zewnętrzne, przyłącza zewnętrzne, utwardzone dojście do </w:t>
            </w:r>
            <w:r w:rsidR="00C77197">
              <w:rPr>
                <w:rFonts w:ascii="Times New Roman" w:eastAsia="Times New Roman" w:hAnsi="Times New Roman" w:cs="Times New Roman"/>
                <w:sz w:val="20"/>
                <w:szCs w:val="20"/>
              </w:rPr>
              <w:t>budynku chodnik do drzwi wejściowych miejsca postojowe, pozwolenie na użytkowanie, teren bez humusowania i nawożenia ziemi – 10% ceny zakupu do 30.</w:t>
            </w:r>
            <w:r w:rsidR="00744C82">
              <w:rPr>
                <w:rFonts w:ascii="Times New Roman" w:eastAsia="Times New Roman" w:hAnsi="Times New Roman" w:cs="Times New Roman"/>
                <w:sz w:val="20"/>
                <w:szCs w:val="20"/>
              </w:rPr>
              <w:t>10</w:t>
            </w:r>
            <w:r w:rsidR="00C77197">
              <w:rPr>
                <w:rFonts w:ascii="Times New Roman" w:eastAsia="Times New Roman" w:hAnsi="Times New Roman" w:cs="Times New Roman"/>
                <w:sz w:val="20"/>
                <w:szCs w:val="20"/>
              </w:rPr>
              <w:t>.2026r</w:t>
            </w:r>
          </w:p>
        </w:tc>
      </w:tr>
      <w:tr w:rsidR="00A85871" w:rsidRPr="00EA1C22" w14:paraId="4ADAB852" w14:textId="77777777" w:rsidTr="00A34C14">
        <w:trPr>
          <w:trHeight w:val="292"/>
        </w:trPr>
        <w:tc>
          <w:tcPr>
            <w:tcW w:w="2972" w:type="dxa"/>
            <w:shd w:val="clear" w:color="auto" w:fill="F3F3F3"/>
          </w:tcPr>
          <w:p w14:paraId="5FFC3DEE" w14:textId="234334AE"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Dopuszczenie waloryzacji ceny oraz określenie zasad waloryzacji</w:t>
            </w:r>
          </w:p>
        </w:tc>
        <w:tc>
          <w:tcPr>
            <w:tcW w:w="6662" w:type="dxa"/>
            <w:gridSpan w:val="2"/>
          </w:tcPr>
          <w:p w14:paraId="6AE0BDB5" w14:textId="5FF590F0" w:rsidR="00A85871" w:rsidRPr="00EA1C22" w:rsidRDefault="00C77197"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Waloryzacja nie jest dopuszc</w:t>
            </w:r>
            <w:r w:rsidR="00DE55D2">
              <w:rPr>
                <w:rFonts w:ascii="Times New Roman" w:eastAsia="Times New Roman" w:hAnsi="Times New Roman" w:cs="Times New Roman"/>
                <w:sz w:val="20"/>
                <w:szCs w:val="20"/>
              </w:rPr>
              <w:t>z</w:t>
            </w:r>
            <w:r>
              <w:rPr>
                <w:rFonts w:ascii="Times New Roman" w:eastAsia="Times New Roman" w:hAnsi="Times New Roman" w:cs="Times New Roman"/>
                <w:sz w:val="20"/>
                <w:szCs w:val="20"/>
              </w:rPr>
              <w:t>alna</w:t>
            </w:r>
          </w:p>
        </w:tc>
      </w:tr>
      <w:tr w:rsidR="00A85871" w:rsidRPr="00EA1C22" w14:paraId="697A6D42" w14:textId="77777777" w:rsidTr="003669F6">
        <w:tc>
          <w:tcPr>
            <w:tcW w:w="9634" w:type="dxa"/>
            <w:gridSpan w:val="3"/>
            <w:tcBorders>
              <w:bottom w:val="single" w:sz="4" w:space="0" w:color="auto"/>
            </w:tcBorders>
            <w:shd w:val="clear" w:color="auto" w:fill="E0E0E0"/>
          </w:tcPr>
          <w:p w14:paraId="226D394A" w14:textId="77777777" w:rsidR="00A85871" w:rsidRPr="00CF10B0" w:rsidRDefault="00A85871" w:rsidP="00A85871">
            <w:pPr>
              <w:spacing w:beforeLines="50" w:before="120" w:afterLines="60" w:after="144" w:line="240" w:lineRule="auto"/>
              <w:jc w:val="both"/>
              <w:rPr>
                <w:rFonts w:ascii="Times New Roman" w:eastAsia="Times New Roman" w:hAnsi="Times New Roman" w:cs="Times New Roman"/>
                <w:b/>
                <w:sz w:val="20"/>
                <w:szCs w:val="20"/>
              </w:rPr>
            </w:pPr>
            <w:r w:rsidRPr="00CF10B0">
              <w:rPr>
                <w:rFonts w:ascii="Times New Roman" w:eastAsia="Times New Roman" w:hAnsi="Times New Roman" w:cs="Times New Roman"/>
                <w:b/>
                <w:sz w:val="20"/>
                <w:szCs w:val="20"/>
              </w:rPr>
              <w:t>WARUNKI ODSTĄPIENIA OD UMOWY DEWELOPERSKIEJ LUB UMOWY, O KTÓREJ MOWA</w:t>
            </w:r>
          </w:p>
          <w:p w14:paraId="533B7EFC" w14:textId="77777777" w:rsidR="00A85871" w:rsidRPr="00CF10B0" w:rsidRDefault="00A85871" w:rsidP="00A85871">
            <w:pPr>
              <w:spacing w:beforeLines="50" w:before="120" w:afterLines="60" w:after="144" w:line="240" w:lineRule="auto"/>
              <w:jc w:val="both"/>
              <w:rPr>
                <w:rFonts w:ascii="Times New Roman" w:eastAsia="Times New Roman" w:hAnsi="Times New Roman" w:cs="Times New Roman"/>
                <w:b/>
                <w:sz w:val="20"/>
                <w:szCs w:val="20"/>
              </w:rPr>
            </w:pPr>
            <w:r w:rsidRPr="00CF10B0">
              <w:rPr>
                <w:rFonts w:ascii="Times New Roman" w:eastAsia="Times New Roman" w:hAnsi="Times New Roman" w:cs="Times New Roman"/>
                <w:b/>
                <w:sz w:val="20"/>
                <w:szCs w:val="20"/>
              </w:rPr>
              <w:t>W ART. 2 UST. 1 PKT 2, 3 LUB 5 USTAWY Z DNIA 20 MAJA 2021 R. O OCHRONIE PRAW NABYWCY</w:t>
            </w:r>
          </w:p>
          <w:p w14:paraId="2C835EBE" w14:textId="77777777" w:rsidR="00A85871" w:rsidRPr="00CF10B0" w:rsidRDefault="00A85871" w:rsidP="00A85871">
            <w:pPr>
              <w:spacing w:beforeLines="50" w:before="120" w:afterLines="60" w:after="144" w:line="240" w:lineRule="auto"/>
              <w:jc w:val="both"/>
              <w:rPr>
                <w:rFonts w:ascii="Times New Roman" w:eastAsia="Times New Roman" w:hAnsi="Times New Roman" w:cs="Times New Roman"/>
                <w:b/>
                <w:sz w:val="20"/>
                <w:szCs w:val="20"/>
              </w:rPr>
            </w:pPr>
            <w:r w:rsidRPr="00CF10B0">
              <w:rPr>
                <w:rFonts w:ascii="Times New Roman" w:eastAsia="Times New Roman" w:hAnsi="Times New Roman" w:cs="Times New Roman"/>
                <w:b/>
                <w:sz w:val="20"/>
                <w:szCs w:val="20"/>
              </w:rPr>
              <w:t>LOKALU MIESZKALNEGO LUB DOMU JEDNORODZINNEGO ORAZ DEWELOPERSKIM FUNDUSZU</w:t>
            </w:r>
          </w:p>
          <w:p w14:paraId="38B74262" w14:textId="2A2D0763" w:rsidR="00A85871" w:rsidRPr="00EA1C22" w:rsidRDefault="00A85871" w:rsidP="00A85871">
            <w:pPr>
              <w:spacing w:beforeLines="50" w:before="120" w:afterLines="60" w:after="144" w:line="240" w:lineRule="auto"/>
              <w:jc w:val="both"/>
              <w:rPr>
                <w:rFonts w:ascii="Times New Roman" w:eastAsia="Times New Roman" w:hAnsi="Times New Roman" w:cs="Times New Roman"/>
                <w:b/>
                <w:sz w:val="20"/>
                <w:szCs w:val="20"/>
              </w:rPr>
            </w:pPr>
            <w:r w:rsidRPr="00CF10B0">
              <w:rPr>
                <w:rFonts w:ascii="Times New Roman" w:eastAsia="Times New Roman" w:hAnsi="Times New Roman" w:cs="Times New Roman"/>
                <w:b/>
                <w:sz w:val="20"/>
                <w:szCs w:val="20"/>
              </w:rPr>
              <w:t xml:space="preserve">GWARANCYJNYM </w:t>
            </w:r>
          </w:p>
        </w:tc>
      </w:tr>
      <w:tr w:rsidR="00A85871" w:rsidRPr="00EA1C22" w14:paraId="6E2858C9" w14:textId="77777777" w:rsidTr="00A34C14">
        <w:trPr>
          <w:trHeight w:val="1512"/>
        </w:trPr>
        <w:tc>
          <w:tcPr>
            <w:tcW w:w="2972" w:type="dxa"/>
            <w:tcBorders>
              <w:bottom w:val="single" w:sz="4" w:space="0" w:color="auto"/>
            </w:tcBorders>
            <w:shd w:val="clear" w:color="auto" w:fill="F3F3F3"/>
          </w:tcPr>
          <w:p w14:paraId="18BE7E01" w14:textId="76004BEB"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9E3AD9">
              <w:rPr>
                <w:rFonts w:ascii="Times New Roman" w:eastAsia="Times New Roman" w:hAnsi="Times New Roman" w:cs="Times New Roman"/>
                <w:sz w:val="20"/>
                <w:szCs w:val="20"/>
              </w:rPr>
              <w:t>Warunki, na jakich można</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odstąpić od umowy</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deweloperskiej lub jednej z umów,</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o których mowa w art. 2 ust. 1</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pkt 2, 3 lub 5 ustawy z dnia</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20 maja 2021 r. o ochronie praw</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nabywcy lokalu mieszkalnego</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lub domu jednorodzinnego oraz</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Deweloperskim Funduszu</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Gwarancyjnym</w:t>
            </w:r>
          </w:p>
        </w:tc>
        <w:tc>
          <w:tcPr>
            <w:tcW w:w="6662" w:type="dxa"/>
            <w:gridSpan w:val="2"/>
          </w:tcPr>
          <w:p w14:paraId="5F554BF8" w14:textId="77777777" w:rsidR="00C77197" w:rsidRPr="00C77197" w:rsidRDefault="00C77197" w:rsidP="00C77197">
            <w:pPr>
              <w:widowControl w:val="0"/>
              <w:suppressAutoHyphens/>
              <w:spacing w:after="0" w:line="240" w:lineRule="auto"/>
              <w:jc w:val="both"/>
              <w:rPr>
                <w:rFonts w:ascii="Times New Roman" w:eastAsia="SimSun" w:hAnsi="Times New Roman" w:cs="Lucida Sans"/>
                <w:color w:val="000000"/>
                <w:kern w:val="2"/>
                <w:sz w:val="20"/>
                <w:szCs w:val="20"/>
                <w:lang w:eastAsia="hi-IN" w:bidi="hi-IN"/>
              </w:rPr>
            </w:pPr>
            <w:r w:rsidRPr="00C77197">
              <w:rPr>
                <w:rFonts w:ascii="Times New Roman" w:eastAsia="SimSun" w:hAnsi="Times New Roman" w:cs="Lucida Sans"/>
                <w:color w:val="000000"/>
                <w:kern w:val="2"/>
                <w:sz w:val="20"/>
                <w:szCs w:val="20"/>
                <w:lang w:eastAsia="hi-IN" w:bidi="hi-IN"/>
              </w:rPr>
              <w:t>Strona Nabywająca ma prawo odstąpić do niniejszej umowy:</w:t>
            </w:r>
          </w:p>
          <w:p w14:paraId="66505836" w14:textId="77777777" w:rsidR="00C77197" w:rsidRPr="00C77197" w:rsidRDefault="00C77197" w:rsidP="00C77197">
            <w:pPr>
              <w:widowControl w:val="0"/>
              <w:suppressAutoHyphens/>
              <w:spacing w:after="0" w:line="240" w:lineRule="auto"/>
              <w:jc w:val="both"/>
              <w:rPr>
                <w:rFonts w:ascii="Times New Roman" w:eastAsia="SimSun" w:hAnsi="Times New Roman" w:cs="Lucida Sans"/>
                <w:color w:val="000000"/>
                <w:kern w:val="2"/>
                <w:sz w:val="20"/>
                <w:szCs w:val="20"/>
                <w:lang w:eastAsia="hi-IN" w:bidi="hi-IN"/>
              </w:rPr>
            </w:pPr>
          </w:p>
          <w:p w14:paraId="3354F7C5" w14:textId="77777777" w:rsidR="00C77197" w:rsidRPr="00C77197" w:rsidRDefault="00C77197" w:rsidP="00C77197">
            <w:pPr>
              <w:widowControl w:val="0"/>
              <w:numPr>
                <w:ilvl w:val="0"/>
                <w:numId w:val="9"/>
              </w:numPr>
              <w:suppressAutoHyphens/>
              <w:spacing w:after="120" w:line="240" w:lineRule="auto"/>
              <w:jc w:val="both"/>
              <w:rPr>
                <w:rFonts w:ascii="Times New Roman" w:eastAsia="SimSun" w:hAnsi="Times New Roman" w:cs="Lucida Sans"/>
                <w:color w:val="212121"/>
                <w:kern w:val="2"/>
                <w:sz w:val="20"/>
                <w:szCs w:val="20"/>
                <w:lang w:eastAsia="hi-IN" w:bidi="hi-IN"/>
              </w:rPr>
            </w:pPr>
            <w:r w:rsidRPr="00C77197">
              <w:rPr>
                <w:rFonts w:ascii="apple-system" w:eastAsia="SimSun" w:hAnsi="apple-system" w:cs="apple-system"/>
                <w:b/>
                <w:color w:val="212121"/>
                <w:kern w:val="2"/>
                <w:sz w:val="20"/>
                <w:szCs w:val="20"/>
                <w:lang w:eastAsia="hi-IN" w:bidi="hi-IN"/>
              </w:rPr>
              <w:t>Odstąpienie od umowy deweloperskiej</w:t>
            </w:r>
          </w:p>
          <w:p w14:paraId="5DB20679"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Art. 43. 1. Nabywca ma prawo odstąpić od umowy deweloperskiej albo umowy, o której mowa w art. 2 ust. 1 pkt 2, 3 lub 5:</w:t>
            </w:r>
          </w:p>
          <w:p w14:paraId="11AF3BDB"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1) jeżeli umowa deweloperska albo umowa, o której mowa w art. 2 ust. 1 pkt 2, 3 lub 5, nie zawiera odpowiednio elementów, o których mowa w art. 35, albo elementów, o których mowa w art. 36;</w:t>
            </w:r>
          </w:p>
          <w:p w14:paraId="0A98099E"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2) jeżeli informacje zawarte w umowie deweloperskiej albo umowie, o której mowa w art. 2 ust. 1 pkt 2, 3 lub 5, nie są zgodne z informacjami zawartymi w prospekcie informacyjnym lub jego załącznikach, z wyjątkiem zmian, o których mowa w art. 35 ust. 2;</w:t>
            </w:r>
          </w:p>
          <w:p w14:paraId="05B5A9B3"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3) jeżeli deweloper nie doręczył zgodnie z art. 21 lub art. 22 prospektu informacyjnego wraz z załącznikami lub informacji o zmianie danych lub informacji zawartych w prospekcie informacyjnym lub jego załącznikach;</w:t>
            </w:r>
          </w:p>
          <w:p w14:paraId="253BED74"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4) jeżeli dane lub informacje zawarte w prospekcie informacyjnym lub jego załącznikach, na podstawie których zawarto umowę deweloperską albo umowę, o której mowa w art. 2 ust. 1 pkt 2, 3 lub 5, są niezgodne ze stanem faktycznym lub prawnym w dniu zawarcia umowy;</w:t>
            </w:r>
          </w:p>
          <w:p w14:paraId="0711422D"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5) jeżeli prospekt informacyjny, na podstawie którego zawarto umowę deweloperską albo umowę, o której mowa w art. 2 ust. 1 pkt 2, 3 lub 5, nie zawiera danych lub informacji określonych we wzorze prospektu informacyjnego;</w:t>
            </w:r>
          </w:p>
          <w:p w14:paraId="3C247351" w14:textId="06F5ECC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6) w przypadku nie</w:t>
            </w:r>
            <w:r>
              <w:rPr>
                <w:rFonts w:ascii="Times New Roman" w:eastAsia="SimSun" w:hAnsi="Times New Roman" w:cs="Lucida Sans"/>
                <w:color w:val="212121"/>
                <w:kern w:val="2"/>
                <w:sz w:val="20"/>
                <w:szCs w:val="20"/>
                <w:lang w:eastAsia="hi-IN" w:bidi="hi-IN"/>
              </w:rPr>
              <w:t xml:space="preserve"> </w:t>
            </w:r>
            <w:r w:rsidRPr="00C77197">
              <w:rPr>
                <w:rFonts w:ascii="Times New Roman" w:eastAsia="SimSun" w:hAnsi="Times New Roman" w:cs="Lucida Sans"/>
                <w:color w:val="212121"/>
                <w:kern w:val="2"/>
                <w:sz w:val="20"/>
                <w:szCs w:val="20"/>
                <w:lang w:eastAsia="hi-IN" w:bidi="hi-IN"/>
              </w:rPr>
              <w:t>przeniesienia na nabywcę praw wynikających z umowy deweloperskiej albo umowy, o której mowa w art. 2 ust. 1 pkt 2, 3 lub 5, w terminie wynikającym z tych umów;</w:t>
            </w:r>
          </w:p>
          <w:p w14:paraId="5D68C264"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7) w przypadku gdy deweloper nie zawrze umowy mieszkaniowego rachunku powierniczego z innym bankiem w trybie i terminie, o których mowa w art. 10 ust. 1;</w:t>
            </w:r>
          </w:p>
          <w:p w14:paraId="16F6599C" w14:textId="77777777" w:rsidR="00C77197" w:rsidRPr="00C77197" w:rsidRDefault="00C77197" w:rsidP="00C77197">
            <w:pPr>
              <w:widowControl w:val="0"/>
              <w:suppressAutoHyphens/>
              <w:spacing w:after="283" w:line="240" w:lineRule="auto"/>
              <w:rPr>
                <w:rFonts w:ascii="Times New Roman" w:eastAsia="SimSun" w:hAnsi="Times New Roman" w:cs="Lucida Sans"/>
                <w:kern w:val="2"/>
                <w:sz w:val="24"/>
                <w:szCs w:val="24"/>
                <w:lang w:eastAsia="hi-IN" w:bidi="hi-IN"/>
              </w:rPr>
            </w:pPr>
            <w:r w:rsidRPr="00C77197">
              <w:rPr>
                <w:rFonts w:ascii="Times New Roman" w:eastAsia="SimSun" w:hAnsi="Times New Roman" w:cs="Lucida Sans"/>
                <w:color w:val="212121"/>
                <w:kern w:val="2"/>
                <w:sz w:val="20"/>
                <w:szCs w:val="20"/>
                <w:lang w:eastAsia="hi-IN" w:bidi="hi-IN"/>
              </w:rPr>
              <w:t>8) w przypadku gdy deweloper nie posiada zgody wierzyciela hipotecznego lub zobowiązania do jej udzielenia, o których mowa w tym przepisie;</w:t>
            </w:r>
          </w:p>
          <w:p w14:paraId="03D88300" w14:textId="77777777" w:rsidR="00C77197" w:rsidRPr="00C77197" w:rsidRDefault="00C77197" w:rsidP="00C77197">
            <w:pPr>
              <w:widowControl w:val="0"/>
              <w:suppressAutoHyphens/>
              <w:spacing w:after="283" w:line="240" w:lineRule="auto"/>
              <w:rPr>
                <w:rFonts w:ascii="Times New Roman" w:eastAsia="SimSun" w:hAnsi="Times New Roman" w:cs="Lucida Sans"/>
                <w:kern w:val="2"/>
                <w:sz w:val="24"/>
                <w:szCs w:val="24"/>
                <w:lang w:eastAsia="hi-IN" w:bidi="hi-IN"/>
              </w:rPr>
            </w:pPr>
            <w:r w:rsidRPr="00C77197">
              <w:rPr>
                <w:rFonts w:ascii="Times New Roman" w:eastAsia="SimSun" w:hAnsi="Times New Roman" w:cs="Lucida Sans"/>
                <w:color w:val="212121"/>
                <w:kern w:val="2"/>
                <w:sz w:val="20"/>
                <w:szCs w:val="20"/>
                <w:lang w:eastAsia="hi-IN" w:bidi="hi-IN"/>
              </w:rPr>
              <w:t>9) w przypadku niewykonania przez dewelopera obowiązku, o którym mowa w art. 12 ust. 2, w terminie określonym Art. 43. 1. Nabywca ma prawo odstąpić od umowy deweloperskiej albo umowy, o której mowa w art. 2 ust. 1 pkt 2, 3 lub 5</w:t>
            </w:r>
            <w:r w:rsidRPr="00C77197">
              <w:rPr>
                <w:rFonts w:ascii="Times New Roman" w:eastAsia="SimSun" w:hAnsi="Times New Roman" w:cs="Lucida Sans"/>
                <w:i/>
                <w:iCs/>
                <w:color w:val="212121"/>
                <w:kern w:val="2"/>
                <w:sz w:val="20"/>
                <w:szCs w:val="20"/>
                <w:lang w:eastAsia="hi-IN" w:bidi="hi-IN"/>
              </w:rPr>
              <w:t>:</w:t>
            </w:r>
          </w:p>
          <w:p w14:paraId="24265BDC"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 xml:space="preserve">10) w przypadku nieusunięcia przez dewelopera wady istotnej lokalu mieszkalnego albo domu jednorodzinnego na zasadach określonych w art. 41 </w:t>
            </w:r>
            <w:r w:rsidRPr="00C77197">
              <w:rPr>
                <w:rFonts w:ascii="Times New Roman" w:eastAsia="SimSun" w:hAnsi="Times New Roman" w:cs="Lucida Sans"/>
                <w:color w:val="212121"/>
                <w:kern w:val="2"/>
                <w:sz w:val="20"/>
                <w:szCs w:val="20"/>
                <w:lang w:eastAsia="hi-IN" w:bidi="hi-IN"/>
              </w:rPr>
              <w:lastRenderedPageBreak/>
              <w:t>ust. 11;</w:t>
            </w:r>
          </w:p>
          <w:p w14:paraId="6E9EDDFC"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11) w przypadku stwierdzenia przez rzeczoznawcę istnienia wady istotnej, o którym mowa w art. 41 ust. 15;</w:t>
            </w:r>
          </w:p>
          <w:p w14:paraId="5FB70F4C"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12) jeżeli syndyk zażądał wykonania umowy na podstawie art. 98 ustawy z dnia 28 lutego 2003 r. – Prawo upadłościowe.</w:t>
            </w:r>
          </w:p>
          <w:p w14:paraId="0CD2AF1A"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2. W przypadkach, o których mowa w ust. 1 pkt 1–5, nabywca ma prawo odstąpienia od umowy deweloperskiej albo umowy, o której mowa w art. 2 ust. 1 pkt 2, 3 lub 5, w terminie 30 dni od dnia jej zawarcia.</w:t>
            </w:r>
          </w:p>
          <w:p w14:paraId="09943FC8"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3. W przypadku, o którym mowa w ust. 1 pkt 6, przed skorzystaniem z prawa do odstąpienia od umowy nabywca wyznacza deweloperowi 120-dniowy termin na przeniesienie praw wynikających z umowy deweloperskiej albo umowy, o której mowa w art. 2 ust. 1 pkt 2, 3 lub 5, a w razie bezskutecznego upływu wyznaczonego terminu jest uprawniony do odstąpienia od tej umowy. Nabywca zachowuje roszczenie z tytułu kary umownej za okres opóźnienia.</w:t>
            </w:r>
          </w:p>
          <w:p w14:paraId="175F8C23"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4. W przypadku, o którym mowa w ust. 1 pkt 7, nabywca ma prawo odstąpienia od umowy deweloperskiej albo umowy, o której mowa w art. 2 ust. 1 pkt 2, 3 lub 5, po dokonaniu przez bank zwrotu środków zgodnie z art. 10 ust. 3.</w:t>
            </w:r>
          </w:p>
          <w:p w14:paraId="478FE232"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5. W przypadku, o którym mowa w ust. 1 pkt 8, nabywca ma prawo odstąpienia od umowy deweloperskiej albo umowy, o której mowa w art. 2 ust. 1 pkt 2, 3 lub 5, w terminie 60 dni od dnia jej zawarcia.</w:t>
            </w:r>
          </w:p>
          <w:p w14:paraId="75E57CF1"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6. W przypadku, o którym mowa w ust. 1 pkt 9, nabywca ma prawo odstąpienia od umowy deweloperskiej albo umowy, o której mowa w art. 2 ust. 1 pkt 2, 3 lub 5, po upływie 60 dni od dnia podania do publicznej wiadomości informacji, o których mowa w art. 12 ust. 1.</w:t>
            </w:r>
          </w:p>
          <w:p w14:paraId="7FF70F26"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7. Deweloper ma prawo odstąpić od umowy deweloperskiej albo umowy, o której mowa w art. 2 ust. 1 pkt 2, 3 lub 5, w przypadku niespełnienia przez nabywcę świadczenia pieniężnego w 2 ust. 1 pkt 2, 3 lub 5, w przypadku niespełnienia przez nabywcę świadczenia pieniężnego w terminie lub wysokości określonych w umowie, mimo wezwania nabywcy w formie pisemnej do uiszczenia zaległych kwot w terminie 30 dni od dnia doręczenia wezwania, chyba że niespełnienie przez nabywcę świadczenia pieniężnego jest spowodowane działaniem siły wyższej.</w:t>
            </w:r>
          </w:p>
          <w:p w14:paraId="440D30B2"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8. Deweloper ma prawo odstąpić od umowy deweloperskiej albo umowy, o której mowa w art. 2 ust. 1 pkt 2, 3 lub 5, w przypadku niestawienia się nabywcy do odbioru lokalu mieszkalnego albo domu jednorodzinnego lub podpisania aktu notarialnego przenoszącego na nabywcę prawa wynikające z umowy deweloperskiej albo umowy, o której mowa w art. 2 ust. 1 pkt 2, 3 lub 5, mimo dwukrotnego doręczenia wezwania w formie pisemnej w odstępie co najmniej 60 dni, chyba że niestawienie się nabywcy jest spowodowane działaniem siły wyższej.</w:t>
            </w:r>
          </w:p>
          <w:p w14:paraId="4911FB4C"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Art. 44. 1. W przypadku skorzystania przez nabywcę z prawa odstąpienia, o którym mowa w art. 43 ust. 1, nie jest dopuszczalne zastrzeżenie, że nabywcy wolno odstąpić od umowy deweloperskiej albo umowy, o której mowa w art. 2 ust. 1 pkt 2, 3 lub 5, za zapłatą oznaczonej sumy.</w:t>
            </w:r>
          </w:p>
          <w:p w14:paraId="51E27C42"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 xml:space="preserve">2. W przypadku skorzystania przez nabywcę z prawa odstąpienia, o którym mowa w art. 43 ust. 1, umowa uważana jest za niezawartą, a nabywca nie </w:t>
            </w:r>
            <w:r w:rsidRPr="00C77197">
              <w:rPr>
                <w:rFonts w:ascii="Times New Roman" w:eastAsia="SimSun" w:hAnsi="Times New Roman" w:cs="Lucida Sans"/>
                <w:color w:val="212121"/>
                <w:kern w:val="2"/>
                <w:sz w:val="20"/>
                <w:szCs w:val="20"/>
                <w:lang w:eastAsia="hi-IN" w:bidi="hi-IN"/>
              </w:rPr>
              <w:lastRenderedPageBreak/>
              <w:t>ponosi żadnych kosztów związanych z odstąpieniem od umowy.</w:t>
            </w:r>
          </w:p>
          <w:p w14:paraId="78C5CE29"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3. Deweloper ma obowiązek niezwłocznie, jednak nie później niż w terminie 30 dni od dnia otrzymania oświadczenia nabywcy o odstąpieniu od umowy, zwrócić nabywcy środki wypłacone deweloperowi przez bank z otwartego mieszkaniowego rachunku powierniczego w związku z realizacją umowy deweloperskiej albo umowy, o której mowa w art. 2 ust. 1 pkt 2, 3 lub 5.</w:t>
            </w:r>
          </w:p>
          <w:p w14:paraId="5782E118"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4. W terminie 30 dni od dnia otrzymania oświadczenia nabywcy o odstąpieniu od umowy deweloper przekazuje do Ubezpieczeniowego Funduszu Gwarancyjnego, o którym mowa w rozdziale 7 ustawy z dnia 22 maja 2003 r. o ubezpieczeniach obowiązkowych, Ubezpieczeniowym Funduszu Gwarancyjnym i Polskim Biurze Ubezpieczycieli Komunikacyjnych (Dz. U. z 2021 r. poz. 854 i 1177), zwanego dalej „Ubezpieczeniowym Funduszem Gwarancyjnym”, w celu realizacji przez ten fundusz zwrotu wpłat nabywców w przypadku określonym w art. 48 ust. 1 pkt 6, informację o wysokości środków zwróconych nabywcy w związku z odstąpieniem przez niego od umowy i dacie dokonania zwrotu tych środków.</w:t>
            </w:r>
          </w:p>
          <w:p w14:paraId="53024CA1"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Art. 45. 1. Oświadczenie woli nabywcy o odstąpieniu od umowy deweloperskiej albo umowy, o której mowa w art. 2 ust. 1 pkt 2, 3 lub 5, jest skuteczne, jeżeli zawiera zgodę na wykreślenie z księgi wieczystej odpowiednich roszczeń, o których mowa w art. 38 ust. 2, i jest złożone w formie pisemnej z podpisami notarialnie poświadczonymi.</w:t>
            </w:r>
          </w:p>
          <w:p w14:paraId="1A42A072" w14:textId="77777777" w:rsidR="00C77197" w:rsidRPr="00C77197" w:rsidRDefault="00C77197" w:rsidP="00C77197">
            <w:pPr>
              <w:widowControl w:val="0"/>
              <w:suppressAutoHyphens/>
              <w:spacing w:after="283" w:line="240" w:lineRule="auto"/>
              <w:rPr>
                <w:rFonts w:ascii="Times New Roman" w:eastAsia="SimSun" w:hAnsi="Times New Roman" w:cs="Lucida Sans"/>
                <w:i/>
                <w:iCs/>
                <w:color w:val="000000"/>
                <w:kern w:val="2"/>
                <w:sz w:val="20"/>
                <w:szCs w:val="20"/>
                <w:lang w:eastAsia="hi-IN" w:bidi="hi-IN"/>
              </w:rPr>
            </w:pPr>
            <w:r w:rsidRPr="00C77197">
              <w:rPr>
                <w:rFonts w:ascii="Times New Roman" w:eastAsia="SimSun" w:hAnsi="Times New Roman" w:cs="Lucida Sans"/>
                <w:color w:val="212121"/>
                <w:kern w:val="2"/>
                <w:sz w:val="20"/>
                <w:szCs w:val="20"/>
                <w:lang w:eastAsia="hi-IN" w:bidi="hi-IN"/>
              </w:rPr>
              <w:t>2. W przypadku odstąpienia od umowy deweloperskiej albo umowy, o której mowa w art. 2 ust. 1 pkt 2, 3 lub 5, przez dewelopera na podstawie art. 43 ust. 7 lub 8, nabywca jest obowiązany wyrazić zgodę na wykreślenie z księgi wieczystej odpowiednich roszczeń, o których mowa w art. 38 ust. 2. </w:t>
            </w:r>
          </w:p>
          <w:p w14:paraId="5EF4BDF5"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r>
      <w:tr w:rsidR="00A85871" w:rsidRPr="00EA1C22" w14:paraId="4DDF4463" w14:textId="77777777" w:rsidTr="003669F6">
        <w:trPr>
          <w:trHeight w:val="510"/>
        </w:trPr>
        <w:tc>
          <w:tcPr>
            <w:tcW w:w="9634" w:type="dxa"/>
            <w:gridSpan w:val="3"/>
            <w:tcBorders>
              <w:bottom w:val="single" w:sz="4" w:space="0" w:color="auto"/>
            </w:tcBorders>
            <w:shd w:val="clear" w:color="auto" w:fill="D9D9D9"/>
          </w:tcPr>
          <w:p w14:paraId="1CE30FBB"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lastRenderedPageBreak/>
              <w:t xml:space="preserve">INNE INFORMACJE </w:t>
            </w:r>
          </w:p>
        </w:tc>
      </w:tr>
      <w:tr w:rsidR="00A85871" w:rsidRPr="00EA1C22" w14:paraId="6113057F" w14:textId="77777777" w:rsidTr="003669F6">
        <w:trPr>
          <w:trHeight w:val="1512"/>
        </w:trPr>
        <w:tc>
          <w:tcPr>
            <w:tcW w:w="9634" w:type="dxa"/>
            <w:gridSpan w:val="3"/>
            <w:tcBorders>
              <w:bottom w:val="nil"/>
            </w:tcBorders>
            <w:shd w:val="clear" w:color="auto" w:fill="F3F3F3"/>
          </w:tcPr>
          <w:p w14:paraId="094F6070" w14:textId="7D1756E6"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I. Informacja</w:t>
            </w:r>
            <w:r w:rsidR="003C753A">
              <w:rPr>
                <w:rFonts w:ascii="Times New Roman" w:eastAsia="Times New Roman" w:hAnsi="Times New Roman" w:cs="Times New Roman"/>
                <w:sz w:val="20"/>
                <w:szCs w:val="20"/>
              </w:rPr>
              <w:t>:</w:t>
            </w:r>
          </w:p>
          <w:p w14:paraId="4D1B661D" w14:textId="77777777" w:rsidR="003C753A" w:rsidRDefault="003C753A" w:rsidP="00017242">
            <w:pPr>
              <w:pStyle w:val="Akapitzlist"/>
              <w:numPr>
                <w:ilvl w:val="0"/>
                <w:numId w:val="7"/>
              </w:numPr>
              <w:spacing w:beforeLines="60" w:before="144" w:afterLines="60" w:after="144" w:line="240" w:lineRule="auto"/>
              <w:jc w:val="both"/>
              <w:rPr>
                <w:rFonts w:cs="Times New Roman"/>
                <w:sz w:val="20"/>
              </w:rPr>
            </w:pPr>
            <w:r w:rsidRPr="003C753A">
              <w:rPr>
                <w:rFonts w:cs="Times New Roman"/>
                <w:sz w:val="20"/>
              </w:rPr>
              <w:t>o zgodzie banku, kasy lub innego wierzyciela hipotecznego na bezobciążeniowe ustanowienie odrębnej własności lokalu mieszkalnego i przeniesienie jego własności na nabywcę po wpłacie pełnej ceny przez nabywcę lub zobowiązaniu do jej udzielenia, jeżeli takie obciążenie istnieje, albo zgodzie banku, kasy lub innego wierzyciela hipotecznego na bezobciążeniowe przeniesienie na nabywcę własności nieruchomości wraz z domem jednorodzinnym lub użytkowania wieczystego nieruchomości gruntowej i własności domu jednorodzinnego stanowiącego odrębną nieruchomość, lub przeniesienie ułamkowej części własności nieruchomości wraz z prawem do wyłącznego korzystania z części nieruchomości służącej zaspokajaniu potrzeb mieszkaniowych po wpłacie pełnej ceny przez nabywcę lub zobowiązaniu do jej udzielenia, jeżeli takie obciążenie istnieje;</w:t>
            </w:r>
            <w:r>
              <w:rPr>
                <w:rFonts w:cs="Times New Roman"/>
                <w:sz w:val="20"/>
              </w:rPr>
              <w:t xml:space="preserve"> </w:t>
            </w:r>
          </w:p>
          <w:p w14:paraId="5E640887" w14:textId="2AAD156B" w:rsidR="00A85871" w:rsidRPr="003C753A" w:rsidRDefault="003C753A" w:rsidP="00017242">
            <w:pPr>
              <w:pStyle w:val="Akapitzlist"/>
              <w:numPr>
                <w:ilvl w:val="0"/>
                <w:numId w:val="7"/>
              </w:numPr>
              <w:spacing w:beforeLines="60" w:before="144" w:afterLines="60" w:after="144" w:line="240" w:lineRule="auto"/>
              <w:jc w:val="both"/>
              <w:rPr>
                <w:rFonts w:cs="Times New Roman"/>
                <w:sz w:val="20"/>
              </w:rPr>
            </w:pPr>
            <w:r w:rsidRPr="003C753A">
              <w:rPr>
                <w:rFonts w:cs="Times New Roman"/>
                <w:sz w:val="20"/>
              </w:rPr>
              <w:t>w przypadku umów, o których mowa w art. 2 ust. 2 ustawy z dnia 20 maja 2021 r. o ochronie praw nabywcy lokalu mieszkalnego lub domu jednorodzinnego oraz Deweloperskim Funduszu Gwarancyjnym – o zgodzie banku, kasy lub innego wierzyciela hipotecznego na bezobciążeniowe przeniesienie własności lokalu użytkowego na nabywcę po wpłacie pełnej ceny przez nabywcę lub zobowiązaniu do udzielenia takiej zgody, jeżeli takie obciążenie istnieje, albo zgodzie banku, kasy lub innego wierzyciela hipotecznego na bezobciążeniowe przeniesienie na nabywcę ułamkowej części własności lokalu użytkowego po wpłacie pełnej ceny przez nabywcę lub zobowiązaniu do udzielenia takiej zgody, jeżeli takie obciążenie istnieje.</w:t>
            </w:r>
          </w:p>
          <w:p w14:paraId="5C2A6289" w14:textId="3344D63A" w:rsidR="00A85871" w:rsidRPr="00FB5B11" w:rsidRDefault="00A85871" w:rsidP="00A85871">
            <w:pPr>
              <w:pStyle w:val="Akapitzlist"/>
              <w:spacing w:beforeLines="60" w:before="144" w:afterLines="60" w:after="144" w:line="240" w:lineRule="auto"/>
              <w:jc w:val="both"/>
              <w:rPr>
                <w:rFonts w:cs="Times New Roman"/>
                <w:sz w:val="20"/>
              </w:rPr>
            </w:pPr>
          </w:p>
        </w:tc>
      </w:tr>
      <w:tr w:rsidR="00A85871" w:rsidRPr="00EA1C22" w14:paraId="5313A43B" w14:textId="77777777" w:rsidTr="003669F6">
        <w:trPr>
          <w:trHeight w:val="1512"/>
        </w:trPr>
        <w:tc>
          <w:tcPr>
            <w:tcW w:w="9634" w:type="dxa"/>
            <w:gridSpan w:val="3"/>
            <w:tcBorders>
              <w:top w:val="nil"/>
              <w:bottom w:val="nil"/>
            </w:tcBorders>
            <w:shd w:val="clear" w:color="auto" w:fill="FFFFFF"/>
          </w:tcPr>
          <w:p w14:paraId="31C6D046"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II. Informacja o możliwości zapoznania się w lokalu przedsiębiorstwa przez osobę zainteresowaną zawarciem umowy odpowiednio do zakresu umowy z:</w:t>
            </w:r>
          </w:p>
          <w:p w14:paraId="2AE11B20" w14:textId="002E5304"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aktualnym stanem księgi wieczystej prowadzonej dla nieruchomości;</w:t>
            </w:r>
          </w:p>
          <w:p w14:paraId="18DA6C00" w14:textId="13B99605"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aktualnym odpisem, wyciągiem, zaświadczeniem lub wydrukiem komputerowym z Centralnej Informacji</w:t>
            </w:r>
          </w:p>
          <w:p w14:paraId="0E6DF985" w14:textId="77777777" w:rsidR="00A85871" w:rsidRPr="00CF10B0" w:rsidRDefault="00A85871" w:rsidP="00A85871">
            <w:pPr>
              <w:widowControl w:val="0"/>
              <w:autoSpaceDE w:val="0"/>
              <w:autoSpaceDN w:val="0"/>
              <w:adjustRightInd w:val="0"/>
              <w:spacing w:beforeLines="60" w:before="144" w:afterLines="60" w:after="144" w:line="240" w:lineRule="auto"/>
              <w:ind w:left="765"/>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Krajowego Rejestru Sądowego, jeżeli podmiot podlega wpisowi do Krajowego Rejestru Sądowego, albo aktualnym zaświadczeniem o wpisie do Centralnej Ewidencji i Informacji o Działalności Gospodarczej;</w:t>
            </w:r>
          </w:p>
          <w:p w14:paraId="1AD41304" w14:textId="5C5B9ABA"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pozwoleniem na budowę albo zgłoszeniem budowy, o którym mowa w art. 29 ust. 1 pkt 1 ustawy z dnia</w:t>
            </w:r>
            <w:r>
              <w:rPr>
                <w:rFonts w:ascii="Times New Roman" w:eastAsia="Times New Roman" w:hAnsi="Times New Roman" w:cs="Times New Roman"/>
                <w:sz w:val="20"/>
                <w:szCs w:val="20"/>
              </w:rPr>
              <w:t xml:space="preserve"> </w:t>
            </w:r>
            <w:r w:rsidRPr="00CF10B0">
              <w:rPr>
                <w:rFonts w:ascii="Times New Roman" w:eastAsia="Times New Roman" w:hAnsi="Times New Roman" w:cs="Times New Roman"/>
                <w:sz w:val="20"/>
                <w:szCs w:val="20"/>
              </w:rPr>
              <w:t>7 lipca 1994 r. – Prawo budowlane, do którego organ administracji architektoniczno-budowlanej nie wniósł</w:t>
            </w:r>
          </w:p>
          <w:p w14:paraId="54EA3427" w14:textId="77777777" w:rsidR="00A85871" w:rsidRPr="00CF10B0" w:rsidRDefault="00A85871" w:rsidP="00A85871">
            <w:pPr>
              <w:widowControl w:val="0"/>
              <w:autoSpaceDE w:val="0"/>
              <w:autoSpaceDN w:val="0"/>
              <w:adjustRightInd w:val="0"/>
              <w:spacing w:beforeLines="60" w:before="144" w:afterLines="60" w:after="144" w:line="240" w:lineRule="auto"/>
              <w:ind w:left="765"/>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sprzeciwu;</w:t>
            </w:r>
          </w:p>
          <w:p w14:paraId="37DFA2BF" w14:textId="2CCBEB74"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sprawozdaniem finansowym dewelopera za ostatnie dwa lata, a w przypadku:</w:t>
            </w:r>
          </w:p>
          <w:p w14:paraId="5BA8B864" w14:textId="77777777" w:rsidR="00A85871" w:rsidRDefault="00A85871" w:rsidP="00A85871">
            <w:pPr>
              <w:widowControl w:val="0"/>
              <w:autoSpaceDE w:val="0"/>
              <w:autoSpaceDN w:val="0"/>
              <w:adjustRightInd w:val="0"/>
              <w:spacing w:beforeLines="60" w:before="144" w:afterLines="60" w:after="144" w:line="240" w:lineRule="auto"/>
              <w:ind w:left="765"/>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a) prowadzenia działalności przez okres krótszy niż dwa lata – sprawozdaniem finansowym za okres ostatniego roku,</w:t>
            </w:r>
          </w:p>
          <w:p w14:paraId="76611FDB" w14:textId="7CB8E150" w:rsidR="00A85871" w:rsidRPr="00CF10B0" w:rsidRDefault="00A85871" w:rsidP="00A85871">
            <w:pPr>
              <w:widowControl w:val="0"/>
              <w:autoSpaceDE w:val="0"/>
              <w:autoSpaceDN w:val="0"/>
              <w:adjustRightInd w:val="0"/>
              <w:spacing w:beforeLines="60" w:before="144" w:afterLines="60" w:after="144" w:line="240" w:lineRule="auto"/>
              <w:ind w:left="765"/>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b) realizacji inwestycji przez spółkę celową – sprawozdaniem spółki dominującej oraz spółki celowej;</w:t>
            </w:r>
          </w:p>
          <w:p w14:paraId="070FFC1D" w14:textId="3222FDCB"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projektem budowlanym;</w:t>
            </w:r>
          </w:p>
          <w:p w14:paraId="0B479937" w14:textId="6DAE2385"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decyzją o pozwoleniu na użytkowanie budynku lub zawiadomieniem o zakończeniu budowy, do którego</w:t>
            </w:r>
            <w:r>
              <w:rPr>
                <w:rFonts w:ascii="Times New Roman" w:eastAsia="Times New Roman" w:hAnsi="Times New Roman" w:cs="Times New Roman"/>
                <w:sz w:val="20"/>
                <w:szCs w:val="20"/>
              </w:rPr>
              <w:t xml:space="preserve"> organ nadzoru budowlanego nie wniósł sprzeciwu;</w:t>
            </w:r>
          </w:p>
          <w:p w14:paraId="41D1D7DB" w14:textId="2A52C221" w:rsidR="00A85871"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 xml:space="preserve">zaświadczeniem o samodzielności lokalu; </w:t>
            </w:r>
          </w:p>
          <w:p w14:paraId="163A34C7" w14:textId="77777777"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aktem ustanowienia odrębnej własności lokalu;</w:t>
            </w:r>
          </w:p>
          <w:p w14:paraId="52076B31" w14:textId="6367CA65"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dokumentem potwierdzającym:</w:t>
            </w:r>
          </w:p>
          <w:p w14:paraId="5B85D2D4" w14:textId="77777777" w:rsidR="003C753A" w:rsidRDefault="003C753A" w:rsidP="003C753A">
            <w:pPr>
              <w:pStyle w:val="Akapitzlist"/>
              <w:numPr>
                <w:ilvl w:val="0"/>
                <w:numId w:val="6"/>
              </w:numPr>
              <w:spacing w:beforeLines="60" w:before="144" w:afterLines="60" w:after="144" w:line="240" w:lineRule="auto"/>
              <w:jc w:val="both"/>
              <w:rPr>
                <w:sz w:val="20"/>
              </w:rPr>
            </w:pPr>
            <w:r w:rsidRPr="003C753A">
              <w:rPr>
                <w:sz w:val="20"/>
              </w:rPr>
              <w:t xml:space="preserve">zgodę banku, kasy lub innego wierzyciela hipotecznego na bezobciążeniowe ustanowienie odrębnej własności lokalu mieszkalnego i przeniesienie jego własności na nabywcę po wpłacie pełnej ceny przez nabywcę lub zobowiązanie do jej udzielenia, jeżeli takie obciążenie istnieje, albo zgodę banku, kasy lub innego wierzyciela hipotecznego na bezobciążeniowe przeniesienie na nabywcę własności nierucho-mości wraz z domem jednorodzinnym lub użytkowania wieczystego nieruchomości gruntowej i własności domu jednorodzinnego stanowiącego odrębną nieruchomość, lub przeniesienie ułamkowej części własności nieruchomości wraz z prawem do wyłącznego korzystania z części nieruchomości służącej zaspokajaniu potrzeb mieszkaniowych po wpłacie pełnej ceny przez nabywcę lub zobowiązanie do jej udzielenia, jeżeli takie obciążenie istnieje, </w:t>
            </w:r>
          </w:p>
          <w:p w14:paraId="22DEA95A" w14:textId="767DE5F3" w:rsidR="00A85871" w:rsidRPr="003C753A" w:rsidRDefault="003C753A" w:rsidP="003C753A">
            <w:pPr>
              <w:pStyle w:val="Akapitzlist"/>
              <w:numPr>
                <w:ilvl w:val="0"/>
                <w:numId w:val="6"/>
              </w:numPr>
              <w:spacing w:beforeLines="60" w:before="144" w:afterLines="60" w:after="144" w:line="240" w:lineRule="auto"/>
              <w:jc w:val="both"/>
              <w:rPr>
                <w:sz w:val="20"/>
              </w:rPr>
            </w:pPr>
            <w:r w:rsidRPr="003C753A">
              <w:rPr>
                <w:sz w:val="20"/>
              </w:rPr>
              <w:t xml:space="preserve">w przypadku umów, o których mowa w art. 2 ust. 2 ustawy z dnia 20 maja 2021 r. o ochronie praw nabywcy lokalu mieszkalnego lub domu jednorodzinnego oraz Deweloperskim Funduszu Gwaran-cyjnym – zgodę banku, kasy lub innego wierzyciela hipotecznego na bezobciążeniowe przeniesienie własności lokalu użytkowego na nabywcę po wpłacie pełnej ceny przez nabywcę lub zobowiązanie do udzielenia takiej zgody, jeżeli takie obciążenie istnieje, albo zgodę banku, kasy lub innego wierzyciela hipotecznego na bezobciążeniowe przeniesienie na nabywcę ułamkowej części własności lokalu użytkowego po wpłacie pełnej ceny przez nabywcę lub zobowiązanie do udzielenia takiej zgody, jeżeli takie obciążenie istnieje. </w:t>
            </w:r>
          </w:p>
        </w:tc>
      </w:tr>
      <w:tr w:rsidR="00A85871" w:rsidRPr="00C77197" w14:paraId="790C2334" w14:textId="77777777" w:rsidTr="003669F6">
        <w:trPr>
          <w:trHeight w:val="1512"/>
        </w:trPr>
        <w:tc>
          <w:tcPr>
            <w:tcW w:w="9634" w:type="dxa"/>
            <w:gridSpan w:val="3"/>
            <w:tcBorders>
              <w:top w:val="nil"/>
            </w:tcBorders>
            <w:shd w:val="clear" w:color="auto" w:fill="FFFFFF"/>
          </w:tcPr>
          <w:p w14:paraId="339050AA" w14:textId="77777777" w:rsidR="00A85871" w:rsidRPr="00C77197"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III. Informacja:</w:t>
            </w:r>
          </w:p>
          <w:p w14:paraId="54305D18" w14:textId="58CABCE1" w:rsidR="00A85871" w:rsidRPr="00C77197"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Środki pieniężne zgromadzone w ING Banku Śląskim S.A. z siedzibą w Katowicach, prowadzącym otwarty mieszkaniowy rachunek powierniczy albo zamknięty mieszkaniowy rachunek powierniczy, są objęte ochroną obowiązkowego systemu gwarantowania depozytów, na zasadach określonych w ustawie z dnia 10 czerwca 2016 r. o Bankowym Funduszu Gwarancyjnym, systemie gwarantowania depozytów oraz przymusowej restrukturyzacji</w:t>
            </w:r>
            <w:r w:rsidR="003C753A" w:rsidRPr="00C77197">
              <w:rPr>
                <w:rFonts w:ascii="Times New Roman" w:eastAsia="Times New Roman" w:hAnsi="Times New Roman" w:cs="Times New Roman"/>
                <w:sz w:val="20"/>
                <w:szCs w:val="20"/>
              </w:rPr>
              <w:t xml:space="preserve"> (Dz. U. z 2022 r. poz. 2253 oraz z 2023 r. poz. 825, 1705, 1784 i 1843).</w:t>
            </w:r>
          </w:p>
          <w:p w14:paraId="641EE4C9" w14:textId="77777777" w:rsidR="00A85871" w:rsidRPr="00C77197"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Informacje podstawowe o obowiązkowym systemie gwarantowania depozytów:</w:t>
            </w:r>
          </w:p>
          <w:p w14:paraId="103BE6F0" w14:textId="3591197F"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ochrona środków dotyczy sytuacji spełnienia warunku gwarancji wobec ING Banku Śląskiego S.A. z siedzibą w Katowicach,</w:t>
            </w:r>
          </w:p>
          <w:p w14:paraId="65173896"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w przypadku rachunku powierniczego deponentem (uprawnionym do środków gwarantowanych) jest każdy z powierzających, w granicach wynikających z jego udziału w kwocie zgromadzonej na tym rachunku, a w granicach pozostałej kwoty na rachunku prawo do środków gwarantowanych ma powiernik,</w:t>
            </w:r>
          </w:p>
          <w:p w14:paraId="46E2C38F"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limit gwarancyjny przypadający na jednego deponenta to równowartość w złotych 100 000 euro; w przypadkach określonych w art. 24 ust. 3 i 4 ustawy z dnia 10 czerwca 2016 r. o Bankowym Funduszu Gwarancyjnym, systemie gwarantowania depozytów oraz przymusowej restrukturyzacji, środki deponenta, w terminie 3 miesięcy od dnia ich wpływu na rachunek, objęte są gwarancjami ponad równowartość w złotych 100 000 euro,</w:t>
            </w:r>
          </w:p>
          <w:p w14:paraId="04752277"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lastRenderedPageBreak/>
              <w:t>–</w:t>
            </w:r>
            <w:r w:rsidRPr="00C77197">
              <w:rPr>
                <w:rFonts w:ascii="Times New Roman" w:eastAsia="Times New Roman" w:hAnsi="Times New Roman" w:cs="Times New Roman"/>
                <w:sz w:val="20"/>
                <w:szCs w:val="20"/>
              </w:rPr>
              <w:tab/>
              <w:t>podstawą wyliczenia kwoty środków gwarantowanych należnej deponentowi jest suma wszystkich podlegających ochronie należności tego deponenta od banku, w tym należności z tytułu środków zgromadzonych na jego rachunkach osobistych i z tytułu jego udziału w środkach zgromadzonych na rachunku powierniczym,</w:t>
            </w:r>
          </w:p>
          <w:p w14:paraId="1CB7D6B8"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wypłata środków gwarantowanych – co do zasady – następuje w terminie 7 dni roboczych od dnia spełnienia warunku gwarancji wobec banku,</w:t>
            </w:r>
          </w:p>
          <w:p w14:paraId="53B5201E"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wypłata środków gwarantowanych jest dokonywana w złotych,</w:t>
            </w:r>
          </w:p>
          <w:p w14:paraId="669DFF7B" w14:textId="0FAB0601"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ING Bank Śląski S.A. z siedzibą w Katowicach korzysta także z następujących znaków towarowych:</w:t>
            </w:r>
            <w:r w:rsidR="003178A3" w:rsidRPr="00C77197">
              <w:rPr>
                <w:rFonts w:ascii="Times New Roman" w:eastAsia="Times New Roman" w:hAnsi="Times New Roman" w:cs="Times New Roman"/>
                <w:sz w:val="20"/>
                <w:szCs w:val="20"/>
              </w:rPr>
              <w:t xml:space="preserve"> ING korzysta ze znaków towarowych dostępnych na stronie </w:t>
            </w:r>
            <w:hyperlink r:id="rId8" w:history="1">
              <w:r w:rsidR="003178A3" w:rsidRPr="00C77197">
                <w:rPr>
                  <w:rStyle w:val="Hipercze"/>
                  <w:rFonts w:ascii="Times New Roman" w:eastAsia="Times New Roman" w:hAnsi="Times New Roman" w:cs="Times New Roman"/>
                  <w:sz w:val="20"/>
                  <w:szCs w:val="20"/>
                </w:rPr>
                <w:t>www.ing.pl</w:t>
              </w:r>
            </w:hyperlink>
            <w:r w:rsidR="003178A3" w:rsidRPr="00C77197">
              <w:rPr>
                <w:rFonts w:ascii="Times New Roman" w:eastAsia="Times New Roman" w:hAnsi="Times New Roman" w:cs="Times New Roman"/>
                <w:sz w:val="20"/>
                <w:szCs w:val="20"/>
              </w:rPr>
              <w:t xml:space="preserve"> </w:t>
            </w:r>
          </w:p>
          <w:p w14:paraId="7CCDC4B2" w14:textId="77777777" w:rsidR="003C753A" w:rsidRPr="00C77197" w:rsidRDefault="003C753A"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 xml:space="preserve">Dalsze informacje na temat systemu gwarantowania depozytów można uzyskać na stronie internetowej Bankowego Funduszu Gwarancyjnego: https://www.bfg.pl/. </w:t>
            </w:r>
          </w:p>
          <w:p w14:paraId="009048BF" w14:textId="77777777" w:rsidR="003C753A" w:rsidRPr="00C77197" w:rsidRDefault="003C753A"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 xml:space="preserve">Informacja zamieszczana w przypadku zawarcia umowy mieszkaniowego rachunku powierniczego z oddziałem instytucji kredytowej w rozumieniu art. 4 ust. 1 pkt 18 ustawy z dnia 29 sierpnia 1997 r. – Prawo bankowe (Dz. U. z 2023 r. poz. 2488). </w:t>
            </w:r>
          </w:p>
          <w:p w14:paraId="4A31F18A" w14:textId="7CFFE8BB" w:rsidR="00A85871" w:rsidRPr="00C77197" w:rsidRDefault="003C753A"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Oddział instytucji kredytowej w rozumieniu art. 4 ust. 1 pkt 18 ustawy z dnia 29 sierpnia 1997 r. – Prawo bankowe jest objęty systemem gwarantowania państwa macierzystego, co oznacza, że nie mają do niego zastosowania przepisy ustawy z dnia 10 czerwca 2016 r. o Bankowym Funduszu Gwarancyjnym, systemie gwarantowania depozytów oraz przymusowej restrukturyzacji.</w:t>
            </w:r>
          </w:p>
        </w:tc>
      </w:tr>
    </w:tbl>
    <w:p w14:paraId="0B833C8A" w14:textId="77777777" w:rsidR="003178A3" w:rsidRDefault="003178A3" w:rsidP="00EA1C22">
      <w:pPr>
        <w:spacing w:beforeLines="60" w:before="144" w:afterLines="60" w:after="144" w:line="240" w:lineRule="auto"/>
        <w:jc w:val="both"/>
        <w:rPr>
          <w:rFonts w:ascii="Times New Roman" w:eastAsia="Times New Roman" w:hAnsi="Times New Roman" w:cs="Times New Roman"/>
          <w:b/>
          <w:sz w:val="20"/>
          <w:szCs w:val="20"/>
        </w:rPr>
      </w:pPr>
    </w:p>
    <w:p w14:paraId="5683169E" w14:textId="44B62B23" w:rsidR="00EF0C78"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CZĘŚĆ INDYWIDUALNA</w:t>
      </w:r>
    </w:p>
    <w:tbl>
      <w:tblPr>
        <w:tblStyle w:val="TableGrid"/>
        <w:tblW w:w="9148" w:type="dxa"/>
        <w:tblInd w:w="-107" w:type="dxa"/>
        <w:tblCellMar>
          <w:top w:w="187" w:type="dxa"/>
          <w:left w:w="107" w:type="dxa"/>
          <w:right w:w="71" w:type="dxa"/>
        </w:tblCellMar>
        <w:tblLook w:val="04A0" w:firstRow="1" w:lastRow="0" w:firstColumn="1" w:lastColumn="0" w:noHBand="0" w:noVBand="1"/>
      </w:tblPr>
      <w:tblGrid>
        <w:gridCol w:w="3363"/>
        <w:gridCol w:w="2881"/>
        <w:gridCol w:w="2904"/>
      </w:tblGrid>
      <w:tr w:rsidR="00EF0C78" w:rsidRPr="00EF0C78" w14:paraId="1524C661" w14:textId="77777777" w:rsidTr="00EF0C78">
        <w:trPr>
          <w:trHeight w:val="475"/>
        </w:trPr>
        <w:tc>
          <w:tcPr>
            <w:tcW w:w="3363" w:type="dxa"/>
            <w:tcBorders>
              <w:top w:val="single" w:sz="4" w:space="0" w:color="000000"/>
              <w:left w:val="single" w:sz="4" w:space="0" w:color="000000"/>
              <w:bottom w:val="single" w:sz="4" w:space="0" w:color="000000"/>
              <w:right w:val="single" w:sz="4" w:space="0" w:color="000000"/>
            </w:tcBorders>
            <w:shd w:val="clear" w:color="auto" w:fill="F2F2F2"/>
          </w:tcPr>
          <w:p w14:paraId="3C41437B" w14:textId="7FA6DB18" w:rsidR="00EF0C78" w:rsidRPr="00EF0C78" w:rsidRDefault="00EF0C78" w:rsidP="00EF0C78">
            <w:pPr>
              <w:spacing w:line="237" w:lineRule="auto"/>
              <w:ind w:right="50"/>
              <w:rPr>
                <w:rFonts w:ascii="Times New Roman" w:hAnsi="Times New Roman"/>
                <w:color w:val="000000"/>
                <w:sz w:val="20"/>
              </w:rPr>
            </w:pPr>
            <w:r w:rsidRPr="00EF0C78">
              <w:rPr>
                <w:rFonts w:ascii="Times New Roman" w:hAnsi="Times New Roman"/>
                <w:color w:val="000000"/>
                <w:sz w:val="20"/>
              </w:rPr>
              <w:t xml:space="preserve">Cena lokalu mieszkalnego albo domu jednorodzinnego </w:t>
            </w:r>
          </w:p>
        </w:tc>
        <w:tc>
          <w:tcPr>
            <w:tcW w:w="5785" w:type="dxa"/>
            <w:gridSpan w:val="2"/>
            <w:tcBorders>
              <w:top w:val="single" w:sz="4" w:space="0" w:color="000000"/>
              <w:left w:val="single" w:sz="4" w:space="0" w:color="000000"/>
              <w:bottom w:val="single" w:sz="4" w:space="0" w:color="000000"/>
              <w:right w:val="single" w:sz="4" w:space="0" w:color="000000"/>
            </w:tcBorders>
          </w:tcPr>
          <w:p w14:paraId="2EC6A13F" w14:textId="5D2CAFE2" w:rsidR="00EF0C78" w:rsidRPr="00C77197" w:rsidRDefault="00DE55D2" w:rsidP="00C77197">
            <w:pPr>
              <w:spacing w:line="256" w:lineRule="auto"/>
              <w:rPr>
                <w:rFonts w:ascii="Times New Roman" w:eastAsia="Calibri" w:hAnsi="Times New Roman"/>
                <w:bCs/>
                <w:color w:val="000000"/>
                <w:sz w:val="20"/>
              </w:rPr>
            </w:pPr>
            <w:r>
              <w:rPr>
                <w:rFonts w:ascii="Times New Roman" w:eastAsia="Calibri" w:hAnsi="Times New Roman"/>
                <w:bCs/>
                <w:color w:val="000000"/>
                <w:sz w:val="20"/>
              </w:rPr>
              <w:t>69</w:t>
            </w:r>
            <w:r w:rsidR="00F7275E">
              <w:rPr>
                <w:rFonts w:ascii="Times New Roman" w:eastAsia="Calibri" w:hAnsi="Times New Roman"/>
                <w:bCs/>
                <w:color w:val="000000"/>
                <w:sz w:val="20"/>
              </w:rPr>
              <w:t>0</w:t>
            </w:r>
            <w:r w:rsidR="00203216">
              <w:rPr>
                <w:rFonts w:ascii="Times New Roman" w:eastAsia="Calibri" w:hAnsi="Times New Roman"/>
                <w:bCs/>
                <w:color w:val="000000"/>
                <w:sz w:val="20"/>
              </w:rPr>
              <w:t>000</w:t>
            </w:r>
            <w:r w:rsidR="00C77197">
              <w:rPr>
                <w:rFonts w:ascii="Times New Roman" w:eastAsia="Calibri" w:hAnsi="Times New Roman"/>
                <w:bCs/>
                <w:color w:val="000000"/>
                <w:sz w:val="20"/>
              </w:rPr>
              <w:t xml:space="preserve"> zł brutto</w:t>
            </w:r>
          </w:p>
        </w:tc>
      </w:tr>
      <w:tr w:rsidR="00EF0C78" w:rsidRPr="00EF0C78" w14:paraId="16DECE96" w14:textId="77777777" w:rsidTr="00EF0C78">
        <w:trPr>
          <w:trHeight w:val="73"/>
        </w:trPr>
        <w:tc>
          <w:tcPr>
            <w:tcW w:w="3363" w:type="dxa"/>
            <w:tcBorders>
              <w:top w:val="single" w:sz="4" w:space="0" w:color="000000"/>
              <w:left w:val="single" w:sz="4" w:space="0" w:color="000000"/>
              <w:bottom w:val="single" w:sz="4" w:space="0" w:color="000000"/>
              <w:right w:val="single" w:sz="4" w:space="0" w:color="000000"/>
            </w:tcBorders>
            <w:shd w:val="clear" w:color="auto" w:fill="F2F2F2"/>
          </w:tcPr>
          <w:p w14:paraId="3EDB3E92" w14:textId="347A68B0" w:rsidR="00EF0C78" w:rsidRPr="00EF0C78" w:rsidRDefault="00EF0C78" w:rsidP="00EF0C78">
            <w:pPr>
              <w:spacing w:line="237" w:lineRule="auto"/>
              <w:ind w:right="50"/>
              <w:rPr>
                <w:rFonts w:ascii="Times New Roman" w:hAnsi="Times New Roman"/>
                <w:color w:val="000000"/>
                <w:sz w:val="20"/>
              </w:rPr>
            </w:pPr>
            <w:r w:rsidRPr="00EF0C78">
              <w:rPr>
                <w:rFonts w:ascii="Times New Roman" w:hAnsi="Times New Roman"/>
                <w:color w:val="000000"/>
                <w:sz w:val="20"/>
              </w:rPr>
              <w:t>Powierzchnia użytkowa lokalu mieszkalnego albo domu jednorodzinnego</w:t>
            </w:r>
          </w:p>
        </w:tc>
        <w:tc>
          <w:tcPr>
            <w:tcW w:w="5785" w:type="dxa"/>
            <w:gridSpan w:val="2"/>
            <w:tcBorders>
              <w:top w:val="single" w:sz="4" w:space="0" w:color="000000"/>
              <w:left w:val="single" w:sz="4" w:space="0" w:color="000000"/>
              <w:bottom w:val="single" w:sz="4" w:space="0" w:color="000000"/>
              <w:right w:val="single" w:sz="4" w:space="0" w:color="000000"/>
            </w:tcBorders>
          </w:tcPr>
          <w:p w14:paraId="7BFC3DE1" w14:textId="3DE91160" w:rsidR="00EF0C78" w:rsidRPr="00C77197" w:rsidRDefault="001D6AF7" w:rsidP="00C77197">
            <w:pPr>
              <w:spacing w:line="256" w:lineRule="auto"/>
              <w:rPr>
                <w:rFonts w:eastAsia="Calibri" w:cs="Calibri"/>
                <w:bCs/>
                <w:color w:val="000000"/>
                <w:sz w:val="20"/>
              </w:rPr>
            </w:pPr>
            <w:r>
              <w:rPr>
                <w:rFonts w:eastAsia="Calibri" w:cs="Calibri"/>
                <w:bCs/>
                <w:color w:val="000000"/>
                <w:sz w:val="20"/>
              </w:rPr>
              <w:t>1</w:t>
            </w:r>
            <w:r w:rsidR="00F7275E">
              <w:rPr>
                <w:rFonts w:eastAsia="Calibri" w:cs="Calibri"/>
                <w:bCs/>
                <w:color w:val="000000"/>
                <w:sz w:val="20"/>
              </w:rPr>
              <w:t>46</w:t>
            </w:r>
            <w:r>
              <w:rPr>
                <w:rFonts w:eastAsia="Calibri" w:cs="Calibri"/>
                <w:bCs/>
                <w:color w:val="000000"/>
                <w:sz w:val="20"/>
              </w:rPr>
              <w:t>,</w:t>
            </w:r>
            <w:r w:rsidR="00F7275E">
              <w:rPr>
                <w:rFonts w:eastAsia="Calibri" w:cs="Calibri"/>
                <w:bCs/>
                <w:color w:val="000000"/>
                <w:sz w:val="20"/>
              </w:rPr>
              <w:t>29</w:t>
            </w:r>
            <w:r w:rsidR="00C77197">
              <w:rPr>
                <w:rFonts w:eastAsia="Calibri" w:cs="Calibri"/>
                <w:bCs/>
                <w:color w:val="000000"/>
                <w:sz w:val="20"/>
              </w:rPr>
              <w:t xml:space="preserve"> m2</w:t>
            </w:r>
          </w:p>
        </w:tc>
      </w:tr>
      <w:tr w:rsidR="00EF0C78" w:rsidRPr="00EF0C78" w14:paraId="205D75CC" w14:textId="77777777" w:rsidTr="00EF0C78">
        <w:trPr>
          <w:trHeight w:val="367"/>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A5A0169" w14:textId="3B78ADC7" w:rsidR="00EF0C78" w:rsidRPr="00EF0C78" w:rsidRDefault="00EF0C78" w:rsidP="00EF0C78">
            <w:pPr>
              <w:spacing w:line="237" w:lineRule="auto"/>
              <w:ind w:right="50"/>
              <w:rPr>
                <w:rFonts w:ascii="Times New Roman" w:hAnsi="Times New Roman"/>
                <w:color w:val="000000"/>
                <w:sz w:val="20"/>
              </w:rPr>
            </w:pPr>
            <w:r w:rsidRPr="00EF0C78">
              <w:rPr>
                <w:rFonts w:ascii="Times New Roman" w:hAnsi="Times New Roman"/>
                <w:color w:val="000000"/>
                <w:sz w:val="20"/>
              </w:rPr>
              <w:t>Cena m2 powierzchni użytkowej lokalu mieszkalnego albo domu</w:t>
            </w:r>
            <w:r>
              <w:rPr>
                <w:rFonts w:ascii="Times New Roman" w:hAnsi="Times New Roman"/>
                <w:color w:val="000000"/>
                <w:sz w:val="20"/>
              </w:rPr>
              <w:t xml:space="preserve"> </w:t>
            </w:r>
            <w:r w:rsidRPr="00EF0C78">
              <w:rPr>
                <w:rFonts w:ascii="Times New Roman" w:hAnsi="Times New Roman"/>
                <w:color w:val="000000"/>
                <w:sz w:val="20"/>
              </w:rPr>
              <w:t xml:space="preserve">jednorodzinnego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9F4D35D" w14:textId="0F0E61FB" w:rsidR="00EF0C78" w:rsidRPr="00C77197" w:rsidRDefault="00F7275E" w:rsidP="00EF0C78">
            <w:pPr>
              <w:spacing w:line="256" w:lineRule="auto"/>
              <w:ind w:left="2"/>
              <w:rPr>
                <w:rFonts w:ascii="Times New Roman" w:hAnsi="Times New Roman"/>
                <w:color w:val="000000"/>
                <w:sz w:val="20"/>
              </w:rPr>
            </w:pPr>
            <w:r>
              <w:rPr>
                <w:color w:val="000000"/>
                <w:sz w:val="20"/>
              </w:rPr>
              <w:t>4716</w:t>
            </w:r>
            <w:r w:rsidR="001D6AF7">
              <w:rPr>
                <w:color w:val="000000"/>
                <w:sz w:val="20"/>
              </w:rPr>
              <w:t>,</w:t>
            </w:r>
            <w:r>
              <w:rPr>
                <w:color w:val="000000"/>
                <w:sz w:val="20"/>
              </w:rPr>
              <w:t>66</w:t>
            </w:r>
            <w:r w:rsidR="00C77197">
              <w:rPr>
                <w:color w:val="000000"/>
                <w:sz w:val="20"/>
              </w:rPr>
              <w:t xml:space="preserve"> zł brutto m2</w:t>
            </w:r>
          </w:p>
        </w:tc>
      </w:tr>
      <w:tr w:rsidR="00EF0C78" w:rsidRPr="00EF0C78" w14:paraId="702CD287" w14:textId="77777777" w:rsidTr="00EF0C78">
        <w:trPr>
          <w:trHeight w:val="3058"/>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C7CD2E0" w14:textId="77777777" w:rsidR="00EF0C78" w:rsidRPr="00EF0C78" w:rsidRDefault="00EF0C78" w:rsidP="00EF0C78">
            <w:pPr>
              <w:spacing w:line="237" w:lineRule="auto"/>
              <w:ind w:right="50"/>
              <w:rPr>
                <w:rFonts w:ascii="Times New Roman" w:hAnsi="Times New Roman"/>
                <w:color w:val="000000"/>
                <w:sz w:val="20"/>
              </w:rPr>
            </w:pPr>
            <w:r w:rsidRPr="00EF0C78">
              <w:rPr>
                <w:rFonts w:ascii="Times New Roman" w:hAnsi="Times New Roman"/>
                <w:color w:val="000000"/>
                <w:sz w:val="20"/>
              </w:rPr>
              <w:t xml:space="preserve">Termin, do którego nastąpi przeniesienie prawa własności nieruchomości wynikającego z umowy deweloperskiej lub jednej z umów, o których mowa w art. 2 ust. 1 pkt 2, </w:t>
            </w:r>
          </w:p>
          <w:p w14:paraId="1BB2A4F5" w14:textId="77777777" w:rsidR="00EF0C78" w:rsidRPr="00EF0C78" w:rsidRDefault="00EF0C78" w:rsidP="00EF0C78">
            <w:pPr>
              <w:spacing w:line="237" w:lineRule="auto"/>
              <w:ind w:right="374"/>
              <w:rPr>
                <w:rFonts w:ascii="Times New Roman" w:hAnsi="Times New Roman"/>
                <w:color w:val="000000"/>
                <w:sz w:val="20"/>
              </w:rPr>
            </w:pPr>
            <w:r w:rsidRPr="00EF0C78">
              <w:rPr>
                <w:rFonts w:ascii="Times New Roman" w:hAnsi="Times New Roman"/>
                <w:color w:val="000000"/>
                <w:sz w:val="20"/>
              </w:rPr>
              <w:t xml:space="preserve">3 lub 5 lub ust. 2 ustawy z dnia 20 maja 2021 r. o ochronie praw nabywcy lokalu mieszkalnego lub domu jednorodzinnego oraz </w:t>
            </w:r>
          </w:p>
          <w:p w14:paraId="2F6F0CB8"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Deweloperskim Funduszu </w:t>
            </w:r>
          </w:p>
          <w:p w14:paraId="5247ADC8"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Gwarancyjnym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22E2C1AD" w14:textId="14F2422F" w:rsidR="00EF0C78" w:rsidRPr="00C7719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C77197">
              <w:rPr>
                <w:rFonts w:eastAsia="Calibri" w:cs="Calibri"/>
                <w:bCs/>
                <w:color w:val="000000"/>
                <w:sz w:val="20"/>
              </w:rPr>
              <w:t>Do dnia 30.</w:t>
            </w:r>
            <w:r w:rsidR="00744C82">
              <w:rPr>
                <w:rFonts w:eastAsia="Calibri" w:cs="Calibri"/>
                <w:bCs/>
                <w:color w:val="000000"/>
                <w:sz w:val="20"/>
              </w:rPr>
              <w:t>11</w:t>
            </w:r>
            <w:r w:rsidR="00C77197">
              <w:rPr>
                <w:rFonts w:eastAsia="Calibri" w:cs="Calibri"/>
                <w:bCs/>
                <w:color w:val="000000"/>
                <w:sz w:val="20"/>
              </w:rPr>
              <w:t>.2026r</w:t>
            </w:r>
          </w:p>
        </w:tc>
      </w:tr>
      <w:tr w:rsidR="00EF0C78" w:rsidRPr="00EF0C78" w14:paraId="61DE01F1" w14:textId="77777777" w:rsidTr="00EF0C78">
        <w:trPr>
          <w:trHeight w:val="542"/>
        </w:trPr>
        <w:tc>
          <w:tcPr>
            <w:tcW w:w="3363"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295663B" w14:textId="77777777" w:rsidR="00EF0C78" w:rsidRPr="00EF0C78" w:rsidRDefault="00EF0C78" w:rsidP="00EF0C78">
            <w:pPr>
              <w:spacing w:line="237" w:lineRule="auto"/>
              <w:ind w:right="106"/>
              <w:rPr>
                <w:rFonts w:ascii="Times New Roman" w:hAnsi="Times New Roman"/>
                <w:color w:val="000000"/>
                <w:sz w:val="20"/>
              </w:rPr>
            </w:pPr>
            <w:r w:rsidRPr="00EF0C78">
              <w:rPr>
                <w:rFonts w:ascii="Times New Roman" w:hAnsi="Times New Roman"/>
                <w:color w:val="000000"/>
                <w:sz w:val="20"/>
              </w:rPr>
              <w:t xml:space="preserve">Określenie położenia oraz istotnych cech domu jednorodzinnego albo budynku, w którym ma znajdować się lokal mieszkalny będący przedmiotem umowy rezerwacyjnej albo umowy deweloperskiej lub jednej z umów, o których mowa w art. 2 ust. 1 pkt 2, 3 lub 5 lub ust. 2 </w:t>
            </w:r>
            <w:r w:rsidRPr="00EF0C78">
              <w:rPr>
                <w:rFonts w:ascii="Times New Roman" w:hAnsi="Times New Roman"/>
                <w:color w:val="000000"/>
                <w:sz w:val="20"/>
              </w:rPr>
              <w:lastRenderedPageBreak/>
              <w:t xml:space="preserve">ustawy z dnia 20 maja 2021 r. o ochronie praw nabywcy lokalu mieszkalnego lub domu jednorodzinnego oraz </w:t>
            </w:r>
          </w:p>
          <w:p w14:paraId="387F892D" w14:textId="77777777" w:rsidR="00EF0C78" w:rsidRPr="00EF0C78" w:rsidRDefault="00EF0C78" w:rsidP="00EF0C78">
            <w:pPr>
              <w:spacing w:after="304" w:line="237" w:lineRule="auto"/>
              <w:rPr>
                <w:rFonts w:ascii="Times New Roman" w:hAnsi="Times New Roman"/>
                <w:color w:val="000000"/>
                <w:sz w:val="20"/>
              </w:rPr>
            </w:pPr>
            <w:r w:rsidRPr="00EF0C78">
              <w:rPr>
                <w:rFonts w:ascii="Times New Roman" w:hAnsi="Times New Roman"/>
                <w:color w:val="000000"/>
                <w:sz w:val="20"/>
              </w:rPr>
              <w:t xml:space="preserve">Deweloperskim Funduszu Gwarancyjnym </w:t>
            </w:r>
          </w:p>
          <w:p w14:paraId="0FBE4F7B" w14:textId="77777777" w:rsidR="00EF0C78" w:rsidRPr="00EF0C78" w:rsidRDefault="00EF0C78" w:rsidP="00EF0C78">
            <w:pPr>
              <w:spacing w:after="278" w:line="256" w:lineRule="auto"/>
              <w:rPr>
                <w:rFonts w:ascii="Times New Roman" w:hAnsi="Times New Roman"/>
                <w:color w:val="000000"/>
                <w:sz w:val="20"/>
              </w:rPr>
            </w:pPr>
            <w:r w:rsidRPr="00EF0C78">
              <w:rPr>
                <w:rFonts w:eastAsia="Calibri" w:cs="Calibri"/>
                <w:b/>
                <w:color w:val="000000"/>
                <w:sz w:val="20"/>
              </w:rPr>
              <w:t xml:space="preserve"> </w:t>
            </w:r>
          </w:p>
          <w:p w14:paraId="12FBDAC8" w14:textId="77777777" w:rsidR="00EF0C78" w:rsidRPr="00EF0C78" w:rsidRDefault="00EF0C78" w:rsidP="00EF0C78">
            <w:pPr>
              <w:spacing w:after="493" w:line="256" w:lineRule="auto"/>
              <w:rPr>
                <w:rFonts w:ascii="Times New Roman" w:hAnsi="Times New Roman"/>
                <w:color w:val="000000"/>
                <w:sz w:val="20"/>
              </w:rPr>
            </w:pPr>
            <w:r w:rsidRPr="00EF0C78">
              <w:rPr>
                <w:rFonts w:eastAsia="Calibri" w:cs="Calibri"/>
                <w:b/>
                <w:color w:val="000000"/>
                <w:sz w:val="20"/>
              </w:rPr>
              <w:t xml:space="preserve"> </w:t>
            </w:r>
          </w:p>
          <w:p w14:paraId="6304EDDD" w14:textId="77777777" w:rsidR="00EF0C78" w:rsidRPr="00EF0C78" w:rsidRDefault="00EF0C78" w:rsidP="00EF0C78">
            <w:pPr>
              <w:spacing w:after="278" w:line="256" w:lineRule="auto"/>
              <w:rPr>
                <w:rFonts w:ascii="Times New Roman" w:hAnsi="Times New Roman"/>
                <w:color w:val="000000"/>
                <w:sz w:val="20"/>
              </w:rPr>
            </w:pPr>
            <w:r w:rsidRPr="00EF0C78">
              <w:rPr>
                <w:rFonts w:eastAsia="Calibri" w:cs="Calibri"/>
                <w:b/>
                <w:color w:val="000000"/>
                <w:sz w:val="20"/>
              </w:rPr>
              <w:t xml:space="preserve"> </w:t>
            </w:r>
          </w:p>
          <w:p w14:paraId="4F2634DD" w14:textId="77777777" w:rsidR="00EF0C78" w:rsidRPr="00EF0C78" w:rsidRDefault="00EF0C78" w:rsidP="00EF0C78">
            <w:pPr>
              <w:spacing w:line="256" w:lineRule="auto"/>
              <w:rPr>
                <w:rFonts w:ascii="Times New Roman" w:hAnsi="Times New Roman"/>
                <w:color w:val="000000"/>
                <w:sz w:val="20"/>
              </w:rPr>
            </w:pPr>
            <w:r w:rsidRPr="00EF0C78">
              <w:rPr>
                <w:rFonts w:eastAsia="Calibri" w:cs="Calibri"/>
                <w:b/>
                <w:color w:val="000000"/>
                <w:sz w:val="20"/>
              </w:rPr>
              <w:t xml:space="preserve"> </w:t>
            </w: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07C6EC9D"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lastRenderedPageBreak/>
              <w:t xml:space="preserve">Liczba kondygnacji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756FECD8" w14:textId="3C391AC3" w:rsidR="00EF0C78" w:rsidRPr="00C7719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C77197">
              <w:rPr>
                <w:rFonts w:eastAsia="Calibri" w:cs="Calibri"/>
                <w:bCs/>
                <w:color w:val="000000"/>
                <w:sz w:val="20"/>
              </w:rPr>
              <w:t>2 kondygnacje naziemne parter i poddasze użytkowe</w:t>
            </w:r>
          </w:p>
        </w:tc>
      </w:tr>
      <w:tr w:rsidR="00EF0C78" w:rsidRPr="00EF0C78" w14:paraId="26D9F98E" w14:textId="77777777" w:rsidTr="00EF0C78">
        <w:trPr>
          <w:trHeight w:val="20"/>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1CFD74E9"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427AD9DF"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Technologia wykonania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7E0527EF" w14:textId="0C15C0D2" w:rsidR="00EF0C78" w:rsidRPr="00C7719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C77197">
              <w:rPr>
                <w:rFonts w:eastAsia="Calibri" w:cs="Calibri"/>
                <w:bCs/>
                <w:color w:val="000000"/>
                <w:sz w:val="20"/>
              </w:rPr>
              <w:t>tradycyjna</w:t>
            </w:r>
          </w:p>
        </w:tc>
      </w:tr>
      <w:tr w:rsidR="00EF0C78" w:rsidRPr="00EF0C78" w14:paraId="64EEBEA4" w14:textId="77777777" w:rsidTr="00EF0C78">
        <w:trPr>
          <w:trHeight w:val="832"/>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13478EA3"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hideMark/>
          </w:tcPr>
          <w:p w14:paraId="3B37B2B8" w14:textId="77777777" w:rsidR="00EF0C78" w:rsidRPr="00EF0C78" w:rsidRDefault="00EF0C78" w:rsidP="00EF0C78">
            <w:pPr>
              <w:spacing w:line="256" w:lineRule="auto"/>
              <w:ind w:left="2" w:right="40"/>
              <w:rPr>
                <w:rFonts w:ascii="Times New Roman" w:hAnsi="Times New Roman"/>
                <w:color w:val="000000"/>
                <w:sz w:val="20"/>
              </w:rPr>
            </w:pPr>
            <w:r w:rsidRPr="00EF0C78">
              <w:rPr>
                <w:rFonts w:ascii="Times New Roman" w:hAnsi="Times New Roman"/>
                <w:color w:val="000000"/>
                <w:sz w:val="20"/>
              </w:rPr>
              <w:t xml:space="preserve">Standard prac wykończeniowych w części wspólnej budynku i terenie wokół niego, </w:t>
            </w:r>
            <w:r w:rsidRPr="00EF0C78">
              <w:rPr>
                <w:rFonts w:ascii="Times New Roman" w:hAnsi="Times New Roman"/>
                <w:color w:val="000000"/>
                <w:sz w:val="20"/>
              </w:rPr>
              <w:lastRenderedPageBreak/>
              <w:t xml:space="preserve">stanowiącym część wspólną nieruchomości </w:t>
            </w:r>
          </w:p>
        </w:tc>
        <w:tc>
          <w:tcPr>
            <w:tcW w:w="2904" w:type="dxa"/>
            <w:tcBorders>
              <w:top w:val="single" w:sz="4" w:space="0" w:color="000000"/>
              <w:left w:val="single" w:sz="4" w:space="0" w:color="000000"/>
              <w:bottom w:val="single" w:sz="4" w:space="0" w:color="000000"/>
              <w:right w:val="single" w:sz="4" w:space="0" w:color="000000"/>
            </w:tcBorders>
            <w:hideMark/>
          </w:tcPr>
          <w:p w14:paraId="300418F1" w14:textId="77777777" w:rsidR="005F24D7" w:rsidRDefault="00EF0C78" w:rsidP="005F24D7">
            <w:pPr>
              <w:shd w:val="clear" w:color="auto" w:fill="FFFFFF"/>
              <w:spacing w:line="276" w:lineRule="auto"/>
              <w:jc w:val="both"/>
              <w:rPr>
                <w:rFonts w:cs="Calibri"/>
                <w:sz w:val="20"/>
                <w:szCs w:val="20"/>
              </w:rPr>
            </w:pPr>
            <w:r w:rsidRPr="00EF0C78">
              <w:rPr>
                <w:rFonts w:eastAsia="Calibri" w:cs="Calibri"/>
                <w:b/>
                <w:color w:val="000000"/>
                <w:sz w:val="20"/>
              </w:rPr>
              <w:lastRenderedPageBreak/>
              <w:t xml:space="preserve"> </w:t>
            </w:r>
            <w:r w:rsidR="005F24D7">
              <w:rPr>
                <w:rFonts w:cs="Calibri"/>
                <w:sz w:val="20"/>
                <w:szCs w:val="20"/>
              </w:rPr>
              <w:t>POSADZKA I KONTRUKCJA:</w:t>
            </w:r>
          </w:p>
          <w:p w14:paraId="283DA6DA" w14:textId="77777777" w:rsidR="005F24D7" w:rsidRDefault="005F24D7" w:rsidP="005F24D7">
            <w:pPr>
              <w:spacing w:line="276" w:lineRule="auto"/>
              <w:rPr>
                <w:rFonts w:cs="Calibri"/>
                <w:sz w:val="20"/>
                <w:szCs w:val="20"/>
              </w:rPr>
            </w:pPr>
            <w:r>
              <w:rPr>
                <w:rFonts w:cs="Calibri"/>
                <w:sz w:val="20"/>
                <w:szCs w:val="20"/>
              </w:rPr>
              <w:t xml:space="preserve">Konstrukcję posadzki stanowi piasek stabilizowany, wylewka 10 </w:t>
            </w:r>
            <w:r>
              <w:rPr>
                <w:rFonts w:cs="Calibri"/>
                <w:sz w:val="20"/>
                <w:szCs w:val="20"/>
              </w:rPr>
              <w:lastRenderedPageBreak/>
              <w:t>cm z betonu C8/10(B10),warstwa termoizolacyjna grubości 15cm,folia budowlana, posadzka betonowa grubości 6cm z betonu C8/10(B10).</w:t>
            </w:r>
          </w:p>
          <w:p w14:paraId="6036AFBE" w14:textId="77777777" w:rsidR="005F24D7" w:rsidRDefault="005F24D7" w:rsidP="005F24D7">
            <w:pPr>
              <w:spacing w:line="276" w:lineRule="auto"/>
              <w:jc w:val="both"/>
              <w:rPr>
                <w:rFonts w:cs="Calibri"/>
                <w:sz w:val="20"/>
                <w:szCs w:val="20"/>
              </w:rPr>
            </w:pPr>
            <w:r>
              <w:rPr>
                <w:rFonts w:cs="Calibri"/>
                <w:sz w:val="20"/>
                <w:szCs w:val="20"/>
              </w:rPr>
              <w:t>Konstrukcja tradycyjna, ściany murowane Porotherm P+W 25 cm, stropy żelbetowe, biegi schodowe żelbetowe monolityczne.</w:t>
            </w:r>
          </w:p>
          <w:p w14:paraId="2D00EEDB" w14:textId="77777777" w:rsidR="005F24D7" w:rsidRDefault="005F24D7" w:rsidP="005F24D7">
            <w:pPr>
              <w:spacing w:line="276" w:lineRule="auto"/>
              <w:jc w:val="both"/>
              <w:rPr>
                <w:rFonts w:cs="Calibri"/>
                <w:sz w:val="20"/>
                <w:szCs w:val="20"/>
              </w:rPr>
            </w:pPr>
            <w:r>
              <w:rPr>
                <w:rFonts w:cs="Calibri"/>
                <w:sz w:val="20"/>
                <w:szCs w:val="20"/>
              </w:rPr>
              <w:t>ŚCIANY:</w:t>
            </w:r>
          </w:p>
          <w:p w14:paraId="17D81171" w14:textId="77777777" w:rsidR="005F24D7" w:rsidRDefault="005F24D7" w:rsidP="005F24D7">
            <w:pPr>
              <w:jc w:val="both"/>
              <w:rPr>
                <w:rFonts w:cs="Calibri"/>
                <w:sz w:val="20"/>
                <w:szCs w:val="20"/>
              </w:rPr>
            </w:pPr>
            <w:r>
              <w:rPr>
                <w:rFonts w:cs="Calibri"/>
                <w:sz w:val="20"/>
                <w:szCs w:val="20"/>
              </w:rPr>
              <w:t>Ściany budynku wykonane z pustaków ceramicznych Porotherm P+W 25 cm, charakteryzujących się najwyższą jakością, murowane na zaprawie cementowej.</w:t>
            </w:r>
          </w:p>
          <w:p w14:paraId="5721D346" w14:textId="77777777" w:rsidR="005F24D7" w:rsidRDefault="005F24D7" w:rsidP="005F24D7">
            <w:pPr>
              <w:jc w:val="both"/>
              <w:rPr>
                <w:rFonts w:cs="Calibri"/>
                <w:sz w:val="20"/>
                <w:szCs w:val="20"/>
              </w:rPr>
            </w:pPr>
            <w:r>
              <w:rPr>
                <w:rFonts w:cs="Calibri"/>
                <w:sz w:val="20"/>
                <w:szCs w:val="20"/>
              </w:rPr>
              <w:t>Ocieplenie ścian zewnętrznych wykonano ze styropianu gr. 18cm o współczynniku przewodności  ciepła równym 0,033 W/mK, co w połączeniu z pustakami ceramicznymi daje wysokiej jakości przegrodę zewnętrzną budynku.</w:t>
            </w:r>
          </w:p>
          <w:p w14:paraId="47B2F940" w14:textId="77777777" w:rsidR="005F24D7" w:rsidRDefault="005F24D7" w:rsidP="005F24D7">
            <w:pPr>
              <w:jc w:val="both"/>
              <w:rPr>
                <w:rFonts w:cs="Calibri"/>
                <w:sz w:val="20"/>
                <w:szCs w:val="20"/>
              </w:rPr>
            </w:pPr>
            <w:r>
              <w:rPr>
                <w:rFonts w:cs="Calibri"/>
                <w:sz w:val="20"/>
                <w:szCs w:val="20"/>
              </w:rPr>
              <w:t>ŚCIANKI DZIAŁOWE:</w:t>
            </w:r>
          </w:p>
          <w:p w14:paraId="3810D767" w14:textId="77777777" w:rsidR="005F24D7" w:rsidRDefault="005F24D7" w:rsidP="005F24D7">
            <w:pPr>
              <w:jc w:val="both"/>
              <w:rPr>
                <w:rFonts w:cs="Calibri"/>
                <w:sz w:val="20"/>
                <w:szCs w:val="20"/>
              </w:rPr>
            </w:pPr>
            <w:r>
              <w:rPr>
                <w:rFonts w:cs="Calibri"/>
                <w:sz w:val="20"/>
                <w:szCs w:val="20"/>
              </w:rPr>
              <w:t>Murowane z pustaków ceramicznych  gr. 12 cm, tynkowane obustronnie tynkiem gipsowym. Do zabudowy strychu oraz obudowy przewodów wentylacyjnych oraz wod.-kan. dopuszcza się zastosowanie płyt   G-K.</w:t>
            </w:r>
          </w:p>
          <w:p w14:paraId="79246B5F" w14:textId="77777777" w:rsidR="005F24D7" w:rsidRDefault="005F24D7" w:rsidP="005F24D7">
            <w:pPr>
              <w:jc w:val="both"/>
              <w:rPr>
                <w:rFonts w:cs="Calibri"/>
                <w:sz w:val="20"/>
                <w:szCs w:val="20"/>
              </w:rPr>
            </w:pPr>
            <w:r>
              <w:rPr>
                <w:rFonts w:cs="Calibri"/>
                <w:sz w:val="20"/>
                <w:szCs w:val="20"/>
              </w:rPr>
              <w:t>STROP:</w:t>
            </w:r>
          </w:p>
          <w:p w14:paraId="05381D5E" w14:textId="77777777" w:rsidR="005F24D7" w:rsidRDefault="005F24D7" w:rsidP="005F24D7">
            <w:pPr>
              <w:jc w:val="both"/>
              <w:rPr>
                <w:rFonts w:cs="Calibri"/>
                <w:sz w:val="20"/>
                <w:szCs w:val="20"/>
              </w:rPr>
            </w:pPr>
            <w:r>
              <w:rPr>
                <w:rFonts w:cs="Calibri"/>
                <w:sz w:val="20"/>
                <w:szCs w:val="20"/>
              </w:rPr>
              <w:t>Strop monolityczny, żelbetowy. W części nad poddaszem drewniany obudowany płytami karton – gips na ruszcie metalowym i ocieplony wełną mineralną w układzie dwuwarstwowym.</w:t>
            </w:r>
          </w:p>
          <w:p w14:paraId="54CB4A62" w14:textId="77777777" w:rsidR="005F24D7" w:rsidRDefault="005F24D7" w:rsidP="005F24D7">
            <w:pPr>
              <w:jc w:val="both"/>
              <w:rPr>
                <w:rFonts w:cs="Calibri"/>
                <w:color w:val="000000"/>
                <w:sz w:val="20"/>
                <w:szCs w:val="20"/>
              </w:rPr>
            </w:pPr>
            <w:r>
              <w:rPr>
                <w:rFonts w:cs="Calibri"/>
                <w:sz w:val="20"/>
                <w:szCs w:val="20"/>
              </w:rPr>
              <w:t>TYNKI I WYKOŃCZENIA ŚCIAN ZEWNĘTRZNYCH:</w:t>
            </w:r>
          </w:p>
          <w:p w14:paraId="15F16407" w14:textId="77777777" w:rsidR="005F24D7" w:rsidRDefault="005F24D7" w:rsidP="005F24D7">
            <w:pPr>
              <w:jc w:val="both"/>
              <w:rPr>
                <w:rFonts w:cs="Calibri"/>
                <w:sz w:val="20"/>
                <w:szCs w:val="20"/>
              </w:rPr>
            </w:pPr>
            <w:r>
              <w:rPr>
                <w:rFonts w:cs="Calibri"/>
                <w:color w:val="000000"/>
                <w:sz w:val="20"/>
                <w:szCs w:val="20"/>
              </w:rPr>
              <w:t>Tynki zewnętrzne silikatowo – silikonowe struktura baranek 1,5mm Mapei</w:t>
            </w:r>
          </w:p>
          <w:p w14:paraId="68970C86" w14:textId="77777777" w:rsidR="005F24D7" w:rsidRDefault="005F24D7" w:rsidP="005F24D7">
            <w:pPr>
              <w:jc w:val="both"/>
              <w:rPr>
                <w:rStyle w:val="Domylnaczcionkaakapitu1"/>
              </w:rPr>
            </w:pPr>
            <w:r>
              <w:rPr>
                <w:rFonts w:cs="Calibri"/>
                <w:sz w:val="20"/>
                <w:szCs w:val="20"/>
              </w:rPr>
              <w:t>TYNKI I WYKOŃCZENIA ŚCIAN WEWNĘTRZNYCH:</w:t>
            </w:r>
          </w:p>
          <w:p w14:paraId="05C8626D" w14:textId="77777777" w:rsidR="005F24D7" w:rsidRDefault="005F24D7" w:rsidP="005F24D7">
            <w:pPr>
              <w:jc w:val="both"/>
            </w:pPr>
            <w:r>
              <w:rPr>
                <w:rStyle w:val="Domylnaczcionkaakapitu1"/>
                <w:rFonts w:cs="Calibri"/>
                <w:sz w:val="20"/>
                <w:szCs w:val="20"/>
              </w:rPr>
              <w:t xml:space="preserve">Ściany wewnętrzne oraz sufity tynkowane tynkiem gipsowym cienkowarstwowo, w pomieszczeniach „mokrych” (łazienki, Wc, pralnie, suszarnie </w:t>
            </w:r>
            <w:r>
              <w:rPr>
                <w:rStyle w:val="Domylnaczcionkaakapitu1"/>
                <w:rFonts w:cs="Calibri"/>
                <w:sz w:val="20"/>
                <w:szCs w:val="20"/>
              </w:rPr>
              <w:lastRenderedPageBreak/>
              <w:t>itp.), tynki cementowe zatarte „na ostro”.</w:t>
            </w:r>
          </w:p>
          <w:p w14:paraId="737498BB" w14:textId="77777777" w:rsidR="005F24D7" w:rsidRDefault="005F24D7" w:rsidP="005F24D7">
            <w:pPr>
              <w:jc w:val="both"/>
              <w:rPr>
                <w:rFonts w:cs="Calibri"/>
                <w:sz w:val="20"/>
                <w:szCs w:val="20"/>
              </w:rPr>
            </w:pPr>
            <w:r>
              <w:rPr>
                <w:rFonts w:cs="Calibri"/>
                <w:sz w:val="20"/>
                <w:szCs w:val="20"/>
              </w:rPr>
              <w:t>Bez okładzin ścian na tynkach (bez płytek).</w:t>
            </w:r>
          </w:p>
          <w:p w14:paraId="5B14336B" w14:textId="77777777" w:rsidR="005F24D7" w:rsidRDefault="005F24D7" w:rsidP="005F24D7">
            <w:pPr>
              <w:jc w:val="both"/>
              <w:rPr>
                <w:rFonts w:cs="Calibri"/>
                <w:sz w:val="20"/>
                <w:szCs w:val="20"/>
              </w:rPr>
            </w:pPr>
            <w:r>
              <w:rPr>
                <w:rFonts w:cs="Calibri"/>
                <w:sz w:val="20"/>
                <w:szCs w:val="20"/>
              </w:rPr>
              <w:t>POSADZKI:</w:t>
            </w:r>
          </w:p>
          <w:p w14:paraId="310588E2" w14:textId="77777777" w:rsidR="005F24D7" w:rsidRDefault="005F24D7" w:rsidP="005F24D7">
            <w:pPr>
              <w:jc w:val="both"/>
              <w:rPr>
                <w:rFonts w:cs="Calibri"/>
                <w:sz w:val="20"/>
                <w:szCs w:val="20"/>
              </w:rPr>
            </w:pPr>
            <w:r>
              <w:rPr>
                <w:rFonts w:cs="Calibri"/>
                <w:sz w:val="20"/>
                <w:szCs w:val="20"/>
              </w:rPr>
              <w:t>Wylewki betonowe zbrojone przeciwskurczowo zbrojeniem polipropylenowym zatarte na ostro pod warstwy wykończeniowe układane przez Lokatora – np. panele, parkiety, płytki (z uwagi na wymagania technologii wykonania posadzek cementowych wysokość pomieszczeń w lokalach może się różnić względem projektu ok. +/- 2,0cm, przy zachowaniu wysokości pomieszczeń nie mniejszej niż normowa).</w:t>
            </w:r>
          </w:p>
          <w:p w14:paraId="3C6106FD" w14:textId="77777777" w:rsidR="005F24D7" w:rsidRDefault="005F24D7" w:rsidP="005F24D7">
            <w:pPr>
              <w:jc w:val="both"/>
              <w:rPr>
                <w:rFonts w:cs="Calibri"/>
                <w:sz w:val="20"/>
                <w:szCs w:val="20"/>
              </w:rPr>
            </w:pPr>
            <w:r>
              <w:rPr>
                <w:rFonts w:cs="Calibri"/>
                <w:sz w:val="20"/>
                <w:szCs w:val="20"/>
              </w:rPr>
              <w:t>Bez warstwy użytkowej (wykończeniowej) podłogi.</w:t>
            </w:r>
          </w:p>
          <w:p w14:paraId="7155FD49" w14:textId="77777777" w:rsidR="005F24D7" w:rsidRDefault="005F24D7" w:rsidP="005F24D7">
            <w:pPr>
              <w:jc w:val="both"/>
              <w:rPr>
                <w:rFonts w:cs="Calibri"/>
                <w:color w:val="000000"/>
                <w:sz w:val="20"/>
                <w:szCs w:val="20"/>
              </w:rPr>
            </w:pPr>
            <w:r>
              <w:rPr>
                <w:rFonts w:cs="Calibri"/>
                <w:sz w:val="20"/>
                <w:szCs w:val="20"/>
              </w:rPr>
              <w:t>DACH:</w:t>
            </w:r>
          </w:p>
          <w:p w14:paraId="0AE2D082" w14:textId="77777777" w:rsidR="005F24D7" w:rsidRDefault="005F24D7" w:rsidP="005F24D7">
            <w:pPr>
              <w:jc w:val="both"/>
              <w:rPr>
                <w:rStyle w:val="Domylnaczcionkaakapitu1"/>
              </w:rPr>
            </w:pPr>
            <w:r>
              <w:rPr>
                <w:rFonts w:cs="Calibri"/>
                <w:color w:val="000000"/>
                <w:sz w:val="20"/>
                <w:szCs w:val="20"/>
              </w:rPr>
              <w:t>Więźba dachowa wykonana z drewna konstrukcyjnego</w:t>
            </w:r>
          </w:p>
          <w:p w14:paraId="3A65CFC9" w14:textId="77777777" w:rsidR="005F24D7" w:rsidRDefault="005F24D7" w:rsidP="005F24D7">
            <w:pPr>
              <w:jc w:val="both"/>
            </w:pPr>
            <w:r>
              <w:rPr>
                <w:rStyle w:val="Domylnaczcionkaakapitu1"/>
                <w:rFonts w:cs="Calibri"/>
                <w:sz w:val="20"/>
                <w:szCs w:val="20"/>
              </w:rPr>
              <w:t>Dach pokryty dachówką betonową. Jako izolację paro przepuszczalną stosuje się folię o wysokiej paro przepuszczalności powyżej 700g/m</w:t>
            </w:r>
            <w:r>
              <w:rPr>
                <w:rStyle w:val="Domylnaczcionkaakapitu1"/>
                <w:rFonts w:cs="Calibri"/>
                <w:position w:val="24"/>
                <w:sz w:val="20"/>
                <w:szCs w:val="20"/>
              </w:rPr>
              <w:t>2</w:t>
            </w:r>
            <w:r>
              <w:rPr>
                <w:rStyle w:val="Domylnaczcionkaakapitu1"/>
                <w:rFonts w:cs="Calibri"/>
                <w:sz w:val="20"/>
                <w:szCs w:val="20"/>
              </w:rPr>
              <w:t>/24h. Elementy związane z wentylacją przestrzeni pod pokryciem z dachówek wykonane z elementów w systemie pokrycia. Każdy budynek ma zapewnione wejście kominiarza na dach.</w:t>
            </w:r>
          </w:p>
          <w:p w14:paraId="6EE13393" w14:textId="77777777" w:rsidR="005F24D7" w:rsidRDefault="005F24D7" w:rsidP="005F24D7">
            <w:pPr>
              <w:jc w:val="both"/>
              <w:rPr>
                <w:rFonts w:cs="Calibri"/>
                <w:sz w:val="20"/>
                <w:szCs w:val="20"/>
              </w:rPr>
            </w:pPr>
            <w:r>
              <w:rPr>
                <w:rFonts w:cs="Calibri"/>
                <w:sz w:val="20"/>
                <w:szCs w:val="20"/>
              </w:rPr>
              <w:t>STOLARKA OKIENNA:</w:t>
            </w:r>
          </w:p>
          <w:p w14:paraId="50847B46" w14:textId="77777777" w:rsidR="005F24D7" w:rsidRDefault="005F24D7" w:rsidP="005F24D7">
            <w:pPr>
              <w:jc w:val="both"/>
              <w:rPr>
                <w:rFonts w:cs="Calibri"/>
                <w:sz w:val="20"/>
                <w:szCs w:val="20"/>
              </w:rPr>
            </w:pPr>
            <w:r>
              <w:rPr>
                <w:rFonts w:cs="Calibri"/>
                <w:sz w:val="20"/>
                <w:szCs w:val="20"/>
              </w:rPr>
              <w:t>Okna PCV zespolone trzyszybowe, profile 5-komorowe, jednostronnie okleinowane w kolorze antracyt, z nawietrzakami zgodnie z projektem wykonawczym, szyba U=1,1 W/m2xK.</w:t>
            </w:r>
          </w:p>
          <w:p w14:paraId="057A036D" w14:textId="77777777" w:rsidR="005F24D7" w:rsidRDefault="005F24D7" w:rsidP="005F24D7">
            <w:pPr>
              <w:jc w:val="both"/>
              <w:rPr>
                <w:rFonts w:cs="Calibri"/>
                <w:sz w:val="20"/>
                <w:szCs w:val="20"/>
              </w:rPr>
            </w:pPr>
            <w:r>
              <w:rPr>
                <w:rFonts w:cs="Calibri"/>
                <w:sz w:val="20"/>
                <w:szCs w:val="20"/>
              </w:rPr>
              <w:t>Parapety Post Forming lub konglomerat.</w:t>
            </w:r>
          </w:p>
          <w:p w14:paraId="34E21BA7" w14:textId="77777777" w:rsidR="005F24D7" w:rsidRDefault="005F24D7" w:rsidP="005F24D7">
            <w:pPr>
              <w:jc w:val="both"/>
              <w:rPr>
                <w:rFonts w:cs="Calibri"/>
                <w:sz w:val="20"/>
                <w:szCs w:val="20"/>
              </w:rPr>
            </w:pPr>
            <w:r>
              <w:rPr>
                <w:rFonts w:cs="Calibri"/>
                <w:sz w:val="20"/>
                <w:szCs w:val="20"/>
              </w:rPr>
              <w:t>OGRZEWANIE BUDYNKU I CO:</w:t>
            </w:r>
          </w:p>
          <w:p w14:paraId="614BB234" w14:textId="77777777" w:rsidR="005F24D7" w:rsidRDefault="005F24D7" w:rsidP="005F24D7">
            <w:pPr>
              <w:jc w:val="both"/>
              <w:rPr>
                <w:rFonts w:cs="Calibri"/>
                <w:sz w:val="20"/>
                <w:szCs w:val="20"/>
              </w:rPr>
            </w:pPr>
            <w:r>
              <w:rPr>
                <w:rFonts w:cs="Calibri"/>
                <w:sz w:val="20"/>
                <w:szCs w:val="20"/>
              </w:rPr>
              <w:t>Instalacja gazowa z    wykonaniem zarówno ogrzewania podłogowego jak i podłączeń do tradycyjnych grzejników.  Piec c.o. i podłączenie  pieca  i kotłowni po stronie  Kupującego. Druga możliwość to przygotowanie kotłowni do montażu pompy ciepła.</w:t>
            </w:r>
          </w:p>
          <w:p w14:paraId="30005B3E" w14:textId="77777777" w:rsidR="005F24D7" w:rsidRDefault="005F24D7" w:rsidP="005F24D7">
            <w:pPr>
              <w:jc w:val="both"/>
              <w:rPr>
                <w:rFonts w:cs="Calibri"/>
                <w:sz w:val="20"/>
                <w:szCs w:val="20"/>
              </w:rPr>
            </w:pPr>
            <w:r>
              <w:rPr>
                <w:rFonts w:cs="Calibri"/>
                <w:sz w:val="20"/>
                <w:szCs w:val="20"/>
              </w:rPr>
              <w:lastRenderedPageBreak/>
              <w:t>INSTALACJA WOD-KAN:</w:t>
            </w:r>
          </w:p>
          <w:p w14:paraId="18B93803" w14:textId="77777777" w:rsidR="005F24D7" w:rsidRDefault="005F24D7" w:rsidP="005F24D7">
            <w:pPr>
              <w:jc w:val="both"/>
              <w:rPr>
                <w:rFonts w:cs="Calibri"/>
                <w:sz w:val="20"/>
                <w:szCs w:val="20"/>
              </w:rPr>
            </w:pPr>
            <w:r>
              <w:rPr>
                <w:rFonts w:cs="Calibri"/>
                <w:sz w:val="20"/>
                <w:szCs w:val="20"/>
              </w:rPr>
              <w:t>Bez białego montażu, tj. bez urządzeń i armatury łazienkowej oraz kuchennej (np. umywalki, zlewozmywaka, baterii łazienkowej i kuchennej, wanny, kabiny natryskowej).</w:t>
            </w:r>
          </w:p>
          <w:p w14:paraId="14A68071" w14:textId="77777777" w:rsidR="005F24D7" w:rsidRDefault="005F24D7" w:rsidP="005F24D7">
            <w:pPr>
              <w:rPr>
                <w:rFonts w:cs="Calibri"/>
                <w:sz w:val="20"/>
                <w:szCs w:val="20"/>
              </w:rPr>
            </w:pPr>
            <w:r>
              <w:rPr>
                <w:rFonts w:cs="Calibri"/>
                <w:sz w:val="20"/>
                <w:szCs w:val="20"/>
              </w:rPr>
              <w:t>Podejścia pod urządzenia w kuchni i łazience.</w:t>
            </w:r>
          </w:p>
          <w:p w14:paraId="529A2F1D" w14:textId="77777777" w:rsidR="005F24D7" w:rsidRDefault="005F24D7" w:rsidP="005F24D7">
            <w:pPr>
              <w:rPr>
                <w:rFonts w:cs="Calibri"/>
                <w:sz w:val="20"/>
                <w:szCs w:val="20"/>
              </w:rPr>
            </w:pPr>
            <w:r>
              <w:rPr>
                <w:rFonts w:cs="Calibri"/>
                <w:sz w:val="20"/>
                <w:szCs w:val="20"/>
              </w:rPr>
              <w:t>Odpływy mogą być prowadzone na tynkowo.</w:t>
            </w:r>
          </w:p>
          <w:p w14:paraId="000E50FE" w14:textId="77777777" w:rsidR="005F24D7" w:rsidRDefault="005F24D7" w:rsidP="005F24D7">
            <w:pPr>
              <w:rPr>
                <w:rFonts w:cs="Calibri"/>
                <w:sz w:val="20"/>
                <w:szCs w:val="20"/>
              </w:rPr>
            </w:pPr>
            <w:r>
              <w:rPr>
                <w:rFonts w:cs="Calibri"/>
                <w:sz w:val="20"/>
                <w:szCs w:val="20"/>
              </w:rPr>
              <w:t>Liczniki zimnej wody.</w:t>
            </w:r>
          </w:p>
          <w:p w14:paraId="4045D180" w14:textId="77777777" w:rsidR="005F24D7" w:rsidRDefault="005F24D7" w:rsidP="005F24D7">
            <w:pPr>
              <w:jc w:val="both"/>
              <w:rPr>
                <w:rFonts w:cs="Calibri"/>
                <w:sz w:val="20"/>
                <w:szCs w:val="20"/>
              </w:rPr>
            </w:pPr>
            <w:r>
              <w:rPr>
                <w:rFonts w:cs="Calibri"/>
                <w:sz w:val="20"/>
                <w:szCs w:val="20"/>
              </w:rPr>
              <w:t>INSTALACJA ELEKTRYCZNA:</w:t>
            </w:r>
          </w:p>
          <w:p w14:paraId="5183024D" w14:textId="77777777" w:rsidR="005F24D7" w:rsidRDefault="005F24D7" w:rsidP="005F24D7">
            <w:pPr>
              <w:jc w:val="both"/>
              <w:rPr>
                <w:rFonts w:cs="Calibri"/>
                <w:sz w:val="20"/>
                <w:szCs w:val="20"/>
              </w:rPr>
            </w:pPr>
            <w:r>
              <w:rPr>
                <w:rFonts w:cs="Calibri"/>
                <w:sz w:val="20"/>
                <w:szCs w:val="20"/>
              </w:rPr>
              <w:t>Okablowanie zgodnie z projektem     bez włączników i gniazd wtykowych podejścia zakończone puszkami bez opraw oświetleniowych.</w:t>
            </w:r>
          </w:p>
          <w:p w14:paraId="29FC338B" w14:textId="77777777" w:rsidR="005F24D7" w:rsidRDefault="005F24D7" w:rsidP="005F24D7">
            <w:pPr>
              <w:jc w:val="both"/>
              <w:rPr>
                <w:rFonts w:cs="Calibri"/>
                <w:sz w:val="20"/>
                <w:szCs w:val="20"/>
              </w:rPr>
            </w:pPr>
            <w:r>
              <w:rPr>
                <w:rFonts w:cs="Calibri"/>
                <w:sz w:val="20"/>
                <w:szCs w:val="20"/>
              </w:rPr>
              <w:t>INSTALACJA TELEWIZYJNA DOMOFON:</w:t>
            </w:r>
          </w:p>
          <w:p w14:paraId="4B5220BB" w14:textId="77777777" w:rsidR="005F24D7" w:rsidRDefault="005F24D7" w:rsidP="005F24D7">
            <w:pPr>
              <w:rPr>
                <w:rFonts w:cs="Calibri"/>
                <w:sz w:val="20"/>
                <w:szCs w:val="20"/>
              </w:rPr>
            </w:pPr>
            <w:r>
              <w:rPr>
                <w:rFonts w:cs="Calibri"/>
                <w:sz w:val="20"/>
                <w:szCs w:val="20"/>
              </w:rPr>
              <w:t>Okablowanie dla telewizji, 1 podejście TV zakończone puszką w pokoju dziennym.</w:t>
            </w:r>
          </w:p>
          <w:p w14:paraId="28BE797B" w14:textId="77777777" w:rsidR="005F24D7" w:rsidRDefault="005F24D7" w:rsidP="005F24D7">
            <w:pPr>
              <w:rPr>
                <w:rFonts w:cs="Calibri"/>
                <w:sz w:val="20"/>
                <w:szCs w:val="20"/>
              </w:rPr>
            </w:pPr>
            <w:r>
              <w:rPr>
                <w:rFonts w:cs="Calibri"/>
                <w:sz w:val="20"/>
                <w:szCs w:val="20"/>
              </w:rPr>
              <w:t>Sygnał podany przez operatora telewizji kablowej – po stronie lokatora.</w:t>
            </w:r>
          </w:p>
          <w:p w14:paraId="2E472B77" w14:textId="77777777" w:rsidR="005F24D7" w:rsidRDefault="005F24D7" w:rsidP="005F24D7">
            <w:pPr>
              <w:rPr>
                <w:rFonts w:cs="Calibri"/>
                <w:sz w:val="20"/>
                <w:szCs w:val="20"/>
              </w:rPr>
            </w:pPr>
            <w:r>
              <w:rPr>
                <w:rFonts w:cs="Calibri"/>
                <w:sz w:val="20"/>
                <w:szCs w:val="20"/>
              </w:rPr>
              <w:t>Okablowanie do panela przy wywoławczego przy furtce i w przedpokoju.</w:t>
            </w:r>
          </w:p>
          <w:p w14:paraId="7B5B4E84" w14:textId="77777777" w:rsidR="005F24D7" w:rsidRDefault="005F24D7" w:rsidP="005F24D7">
            <w:pPr>
              <w:rPr>
                <w:rFonts w:cs="Calibri"/>
                <w:sz w:val="20"/>
                <w:szCs w:val="20"/>
              </w:rPr>
            </w:pPr>
            <w:r>
              <w:rPr>
                <w:rFonts w:cs="Calibri"/>
                <w:sz w:val="20"/>
                <w:szCs w:val="20"/>
              </w:rPr>
              <w:t>Strych w budynku zostaje nie wykończony.</w:t>
            </w:r>
          </w:p>
          <w:p w14:paraId="78E0196F" w14:textId="77777777" w:rsidR="005F24D7" w:rsidRDefault="005F24D7" w:rsidP="005F24D7">
            <w:pPr>
              <w:jc w:val="both"/>
              <w:rPr>
                <w:rFonts w:cs="Calibri"/>
                <w:color w:val="000000"/>
                <w:sz w:val="20"/>
                <w:szCs w:val="20"/>
              </w:rPr>
            </w:pPr>
            <w:r>
              <w:rPr>
                <w:rFonts w:cs="Calibri"/>
                <w:sz w:val="20"/>
                <w:szCs w:val="20"/>
              </w:rPr>
              <w:t>ZAGOSPODAROWNIE TERENU:</w:t>
            </w:r>
          </w:p>
          <w:p w14:paraId="62D01CD3" w14:textId="483C9E5A" w:rsidR="00EF0C78" w:rsidRPr="00EF0C78" w:rsidRDefault="005F24D7" w:rsidP="005F24D7">
            <w:pPr>
              <w:spacing w:line="256" w:lineRule="auto"/>
              <w:ind w:left="1"/>
              <w:rPr>
                <w:rFonts w:ascii="Times New Roman" w:hAnsi="Times New Roman"/>
                <w:color w:val="000000"/>
                <w:sz w:val="20"/>
              </w:rPr>
            </w:pPr>
            <w:r>
              <w:rPr>
                <w:rFonts w:cs="Calibri"/>
                <w:color w:val="000000"/>
                <w:sz w:val="20"/>
                <w:szCs w:val="20"/>
              </w:rPr>
              <w:t>Chodniki – kostka betonowa szara lub grafit  chodnik do drzwi wejściowych plus dwa miejsca postojowe 30 m2 kostka rossano grafit 6 cm</w:t>
            </w:r>
          </w:p>
        </w:tc>
      </w:tr>
      <w:tr w:rsidR="00EF0C78" w:rsidRPr="00EF0C78" w14:paraId="335CE758" w14:textId="77777777" w:rsidTr="00EF0C78">
        <w:trPr>
          <w:trHeight w:val="20"/>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36147A50"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4AA515A5"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Liczba lokali w budynku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3A3C38D4" w14:textId="2E48402B" w:rsidR="00EF0C78" w:rsidRPr="005F24D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 xml:space="preserve">Budynki </w:t>
            </w:r>
            <w:r w:rsidR="00744C82">
              <w:rPr>
                <w:rFonts w:eastAsia="Calibri" w:cs="Calibri"/>
                <w:bCs/>
                <w:color w:val="000000"/>
                <w:sz w:val="20"/>
              </w:rPr>
              <w:t>jedno</w:t>
            </w:r>
            <w:r w:rsidR="005F24D7">
              <w:rPr>
                <w:rFonts w:eastAsia="Calibri" w:cs="Calibri"/>
                <w:bCs/>
                <w:color w:val="000000"/>
                <w:sz w:val="20"/>
              </w:rPr>
              <w:t xml:space="preserve"> lokalowe </w:t>
            </w:r>
          </w:p>
        </w:tc>
      </w:tr>
      <w:tr w:rsidR="00EF0C78" w:rsidRPr="00EF0C78" w14:paraId="6B5DCF1B" w14:textId="77777777" w:rsidTr="00EF0C78">
        <w:trPr>
          <w:trHeight w:val="759"/>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0E23FC01"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15876E75"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Liczba miejsc garażowych i postojowych </w:t>
            </w:r>
          </w:p>
        </w:tc>
        <w:tc>
          <w:tcPr>
            <w:tcW w:w="2904" w:type="dxa"/>
            <w:tcBorders>
              <w:top w:val="single" w:sz="4" w:space="0" w:color="000000"/>
              <w:left w:val="single" w:sz="4" w:space="0" w:color="000000"/>
              <w:bottom w:val="single" w:sz="4" w:space="0" w:color="000000"/>
              <w:right w:val="single" w:sz="4" w:space="0" w:color="000000"/>
            </w:tcBorders>
            <w:hideMark/>
          </w:tcPr>
          <w:p w14:paraId="07A54BE9" w14:textId="0FAACD77" w:rsidR="00EF0C78" w:rsidRPr="005F24D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2 miejsca postojowe przy budynku</w:t>
            </w:r>
          </w:p>
        </w:tc>
      </w:tr>
      <w:tr w:rsidR="00EF0C78" w:rsidRPr="00EF0C78" w14:paraId="3E16660C" w14:textId="77777777" w:rsidTr="00EF0C78">
        <w:trPr>
          <w:trHeight w:val="542"/>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08DF381F"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7678B3BB"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Dostępne media w budynku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0F940F2A" w14:textId="5B8A5526" w:rsidR="00EF0C78" w:rsidRPr="005F24D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Woda, prąd, kanalizacja – szambo, gaz lub pompa ciepła</w:t>
            </w:r>
          </w:p>
        </w:tc>
      </w:tr>
      <w:tr w:rsidR="00EF0C78" w:rsidRPr="00EF0C78" w14:paraId="03E96F92" w14:textId="77777777" w:rsidTr="00EF0C78">
        <w:trPr>
          <w:trHeight w:val="541"/>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7C559F24"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7BC71E89"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Dostęp do drogi publicznej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01DD222D" w14:textId="77777777" w:rsidR="00EF0C78" w:rsidRDefault="00EF0C78" w:rsidP="00EF0C78">
            <w:pPr>
              <w:spacing w:line="256" w:lineRule="auto"/>
              <w:ind w:left="1"/>
              <w:rPr>
                <w:rFonts w:eastAsia="Calibri" w:cs="Calibri"/>
                <w:bCs/>
                <w:color w:val="000000"/>
                <w:sz w:val="20"/>
              </w:rPr>
            </w:pPr>
            <w:r w:rsidRPr="00EF0C78">
              <w:rPr>
                <w:rFonts w:eastAsia="Calibri" w:cs="Calibri"/>
                <w:b/>
                <w:color w:val="000000"/>
                <w:sz w:val="20"/>
              </w:rPr>
              <w:t xml:space="preserve"> </w:t>
            </w:r>
            <w:r w:rsidR="005F24D7">
              <w:rPr>
                <w:rFonts w:eastAsia="Calibri" w:cs="Calibri"/>
                <w:bCs/>
                <w:color w:val="000000"/>
                <w:sz w:val="20"/>
              </w:rPr>
              <w:t>Dostęp do drogi publicznej ul.Mała przez</w:t>
            </w:r>
          </w:p>
          <w:p w14:paraId="20EB74B8" w14:textId="3249DB7E" w:rsidR="005F24D7" w:rsidRPr="005F24D7" w:rsidRDefault="005F24D7" w:rsidP="00EF0C78">
            <w:pPr>
              <w:spacing w:line="256" w:lineRule="auto"/>
              <w:ind w:left="1"/>
              <w:rPr>
                <w:rFonts w:ascii="Times New Roman" w:hAnsi="Times New Roman"/>
                <w:bCs/>
                <w:color w:val="000000"/>
                <w:sz w:val="20"/>
              </w:rPr>
            </w:pPr>
            <w:r>
              <w:rPr>
                <w:bCs/>
                <w:color w:val="000000"/>
                <w:sz w:val="20"/>
              </w:rPr>
              <w:t>- drogę wewnętrzną o szerokości 5m na mocy zbycia udziału w wydzielonej działce stanowiącej drogę</w:t>
            </w:r>
          </w:p>
        </w:tc>
      </w:tr>
      <w:tr w:rsidR="00EF0C78" w:rsidRPr="00EF0C78" w14:paraId="25404D66" w14:textId="77777777" w:rsidTr="00EF0C78">
        <w:trPr>
          <w:trHeight w:val="1447"/>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D69D469" w14:textId="77777777" w:rsidR="00EF0C78" w:rsidRPr="00EF0C78" w:rsidRDefault="00EF0C78" w:rsidP="00EF0C78">
            <w:pPr>
              <w:spacing w:line="256" w:lineRule="auto"/>
              <w:ind w:right="207"/>
              <w:rPr>
                <w:rFonts w:ascii="Times New Roman" w:hAnsi="Times New Roman"/>
                <w:color w:val="000000"/>
                <w:sz w:val="20"/>
              </w:rPr>
            </w:pPr>
            <w:r w:rsidRPr="00EF0C78">
              <w:rPr>
                <w:rFonts w:ascii="Times New Roman" w:hAnsi="Times New Roman"/>
                <w:color w:val="000000"/>
                <w:sz w:val="20"/>
              </w:rPr>
              <w:lastRenderedPageBreak/>
              <w:t xml:space="preserve">Określenie usytuowania lokalu mieszkalnego w budynku, jeżeli przedsięwzięcie deweloperskie lub zadanie inwestycyjne dotyczy lokali mieszkalnych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006859A" w14:textId="159127C4"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Nie dotyczy</w:t>
            </w:r>
          </w:p>
        </w:tc>
      </w:tr>
      <w:tr w:rsidR="00EF0C78" w:rsidRPr="00EF0C78" w14:paraId="052E7CC1" w14:textId="77777777" w:rsidTr="00EF0C78">
        <w:trPr>
          <w:trHeight w:val="1448"/>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EE5FD79" w14:textId="77777777" w:rsidR="00EF0C78" w:rsidRPr="00EF0C78" w:rsidRDefault="00EF0C78" w:rsidP="00EF0C78">
            <w:pPr>
              <w:spacing w:line="237" w:lineRule="auto"/>
              <w:ind w:right="101"/>
              <w:rPr>
                <w:rFonts w:ascii="Times New Roman" w:hAnsi="Times New Roman"/>
                <w:color w:val="000000"/>
                <w:sz w:val="20"/>
              </w:rPr>
            </w:pPr>
            <w:r w:rsidRPr="00EF0C78">
              <w:rPr>
                <w:rFonts w:ascii="Times New Roman" w:hAnsi="Times New Roman"/>
                <w:color w:val="000000"/>
                <w:sz w:val="20"/>
              </w:rPr>
              <w:t xml:space="preserve">Określenie powierzchni użytkowej i układu pomieszczeń oraz zakresu i standardu prac wykończeniowych, do których wykonania zobowiązuje </w:t>
            </w:r>
          </w:p>
          <w:p w14:paraId="4839E65F"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się deweloper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6D41711" w14:textId="77777777" w:rsidR="005F24D7" w:rsidRDefault="00EF0C78" w:rsidP="005F24D7">
            <w:pPr>
              <w:shd w:val="clear" w:color="auto" w:fill="FFFFFF"/>
              <w:spacing w:before="30" w:line="270" w:lineRule="exact"/>
              <w:jc w:val="both"/>
              <w:rPr>
                <w:rFonts w:cs="Calibri"/>
                <w:sz w:val="20"/>
                <w:szCs w:val="20"/>
              </w:rPr>
            </w:pPr>
            <w:r w:rsidRPr="00EF0C78">
              <w:rPr>
                <w:rFonts w:eastAsia="Calibri" w:cs="Calibri"/>
                <w:b/>
                <w:color w:val="000000"/>
                <w:sz w:val="20"/>
              </w:rPr>
              <w:t xml:space="preserve"> </w:t>
            </w:r>
            <w:r w:rsidR="005F24D7">
              <w:rPr>
                <w:rFonts w:cs="Calibri"/>
                <w:sz w:val="20"/>
                <w:szCs w:val="20"/>
              </w:rPr>
              <w:t>układ pomieszczeń został określony w złączniku nr 3  do prospektu zawierającego rzut danego budynku jednorodzinnego mieszkalnego.</w:t>
            </w:r>
          </w:p>
          <w:p w14:paraId="2185BEC5"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Standard prac wykończeniowych, do których zobowiązuje się deweloper.</w:t>
            </w:r>
          </w:p>
          <w:p w14:paraId="22F44C02" w14:textId="77777777" w:rsidR="005F24D7" w:rsidRDefault="005F24D7" w:rsidP="005F24D7">
            <w:pPr>
              <w:shd w:val="clear" w:color="auto" w:fill="FFFFFF"/>
              <w:spacing w:before="30" w:line="270" w:lineRule="exact"/>
              <w:jc w:val="both"/>
              <w:rPr>
                <w:rFonts w:cs="Calibri"/>
                <w:sz w:val="20"/>
                <w:szCs w:val="20"/>
              </w:rPr>
            </w:pPr>
          </w:p>
          <w:p w14:paraId="1114A44C"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ŚCIANY:</w:t>
            </w:r>
          </w:p>
          <w:p w14:paraId="5FEFBA98" w14:textId="77777777" w:rsidR="005F24D7" w:rsidRDefault="005F24D7" w:rsidP="005F24D7">
            <w:pPr>
              <w:widowControl w:val="0"/>
              <w:numPr>
                <w:ilvl w:val="0"/>
                <w:numId w:val="10"/>
              </w:numPr>
              <w:shd w:val="clear" w:color="auto" w:fill="FFFFFF"/>
              <w:suppressAutoHyphens/>
              <w:spacing w:before="30" w:line="270" w:lineRule="exact"/>
              <w:jc w:val="both"/>
              <w:rPr>
                <w:rFonts w:cs="Calibri"/>
                <w:sz w:val="20"/>
                <w:szCs w:val="20"/>
              </w:rPr>
            </w:pPr>
            <w:r>
              <w:rPr>
                <w:rFonts w:cs="Calibri"/>
                <w:sz w:val="20"/>
                <w:szCs w:val="20"/>
              </w:rPr>
              <w:t>ściany zewnętrzne – murowane z porothermu gr. 25 cm, z izolacja termiczną ze styropianu 18 cm, tynkowane;</w:t>
            </w:r>
          </w:p>
          <w:p w14:paraId="0AD641E6"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ściany między lokalowe – murowane z porothermu od 12cm do  24 cm, wykończone tynkiem gipsowym kategorii IV;</w:t>
            </w:r>
          </w:p>
          <w:p w14:paraId="58AABE83"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ściany działowe wewnątrz mieszkaniowe pomiędzy pokojami – murowane z porothermu gr.  12 cm, wykończone tynkiem gipsowym kategorii IV;</w:t>
            </w:r>
          </w:p>
          <w:p w14:paraId="295B9D01"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ściany działowe wewnątrz mieszkaniowe w pomieszczeniach higieniczno -sanitarnych – murowane z porothermu gr. 12 cm, wykończone tynkiem;</w:t>
            </w:r>
          </w:p>
          <w:p w14:paraId="3AA2FB0B"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sufity: wykończone tynkiem gipsowym  kategorii IV;</w:t>
            </w:r>
          </w:p>
          <w:p w14:paraId="19859A02"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DRZWI WEJŚCIOWE:</w:t>
            </w:r>
          </w:p>
          <w:p w14:paraId="3571FD5E"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pełne, jednoskrzydłowe, atestowane, powierzchnie  okleinowane.</w:t>
            </w:r>
          </w:p>
          <w:p w14:paraId="7111D34A"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DRZWI WEWNĘTRZNE:</w:t>
            </w:r>
          </w:p>
          <w:p w14:paraId="53E3BD69"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otwory przygotowane do montażu ościeżnic i drzwi.</w:t>
            </w:r>
          </w:p>
          <w:p w14:paraId="62E644FA"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OKNA I DRZWI BALKONOWE:</w:t>
            </w:r>
          </w:p>
          <w:p w14:paraId="36F110E0" w14:textId="77777777" w:rsidR="005F24D7" w:rsidRDefault="005F24D7" w:rsidP="005F24D7">
            <w:pPr>
              <w:widowControl w:val="0"/>
              <w:numPr>
                <w:ilvl w:val="0"/>
                <w:numId w:val="11"/>
              </w:numPr>
              <w:shd w:val="clear" w:color="auto" w:fill="FFFFFF"/>
              <w:tabs>
                <w:tab w:val="left" w:pos="-2910"/>
              </w:tabs>
              <w:suppressAutoHyphens/>
              <w:spacing w:before="30" w:line="270" w:lineRule="exact"/>
              <w:jc w:val="both"/>
              <w:rPr>
                <w:rFonts w:cs="Calibri"/>
                <w:sz w:val="20"/>
                <w:szCs w:val="20"/>
              </w:rPr>
            </w:pPr>
            <w:r>
              <w:rPr>
                <w:rFonts w:cs="Calibri"/>
                <w:sz w:val="20"/>
                <w:szCs w:val="20"/>
              </w:rPr>
              <w:t>PCV, profil pięcio komorowy,; szklone zestawem szklanym ze szkłem niskoemisyjnym, bezbarwnym, okucia obwiedniowe, standardowe, o wymaganej izolacyjności akustycznej;</w:t>
            </w:r>
          </w:p>
          <w:p w14:paraId="592123FC"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drzwi tarasowe otwierane  plus  fix</w:t>
            </w:r>
          </w:p>
          <w:p w14:paraId="676E66BE"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PARAPETY:</w:t>
            </w:r>
          </w:p>
          <w:p w14:paraId="11686BF4" w14:textId="77777777" w:rsidR="005F24D7" w:rsidRDefault="005F24D7" w:rsidP="005F24D7">
            <w:pPr>
              <w:widowControl w:val="0"/>
              <w:numPr>
                <w:ilvl w:val="0"/>
                <w:numId w:val="11"/>
              </w:numPr>
              <w:shd w:val="clear" w:color="auto" w:fill="FFFFFF"/>
              <w:suppressAutoHyphens/>
              <w:spacing w:before="30" w:line="270" w:lineRule="exact"/>
              <w:jc w:val="both"/>
              <w:rPr>
                <w:rFonts w:eastAsia="Tahoma" w:cs="Calibri"/>
                <w:color w:val="000000"/>
                <w:sz w:val="20"/>
                <w:szCs w:val="20"/>
              </w:rPr>
            </w:pPr>
            <w:r>
              <w:rPr>
                <w:rFonts w:cs="Calibri"/>
                <w:sz w:val="20"/>
                <w:szCs w:val="20"/>
              </w:rPr>
              <w:t>parapety zewnętrzne stal  w kolorze  grafit</w:t>
            </w:r>
          </w:p>
          <w:p w14:paraId="6E023CD0" w14:textId="77777777" w:rsidR="005F24D7" w:rsidRDefault="005F24D7" w:rsidP="005F24D7">
            <w:pPr>
              <w:shd w:val="clear" w:color="auto" w:fill="FFFFFF"/>
              <w:spacing w:before="30" w:line="270" w:lineRule="exact"/>
              <w:jc w:val="both"/>
              <w:rPr>
                <w:rFonts w:eastAsia="SimSun" w:cs="Calibri"/>
                <w:sz w:val="20"/>
                <w:szCs w:val="20"/>
              </w:rPr>
            </w:pPr>
            <w:r>
              <w:rPr>
                <w:rFonts w:eastAsia="Tahoma" w:cs="Calibri"/>
                <w:color w:val="000000"/>
                <w:sz w:val="20"/>
                <w:szCs w:val="20"/>
              </w:rPr>
              <w:t>KUCHNIE – INSTALACJE:</w:t>
            </w:r>
          </w:p>
          <w:p w14:paraId="66E3FB36"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gotowe podejścia wody do urządzeń, to jest: zlewozmywaka pod baterię sztorcową i zmywarki, zaślepione  trójniki  na pionach kanalizacyjnych;</w:t>
            </w:r>
          </w:p>
          <w:p w14:paraId="53292600"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gotowe podejścia elektryczne do urządzeń zakończone puszkami dla: zmywarki, lodówki, okapu kuchennego, robocze blatu, wypust 3-fazowy dla kuchni elektrycznej trójfazowej zakończony puszką z kostką zaciskową;</w:t>
            </w:r>
          </w:p>
          <w:p w14:paraId="6CA3B09A"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wpust oświetleniowy.</w:t>
            </w:r>
          </w:p>
          <w:p w14:paraId="5EBB05A5"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ŁAZIENKI - INSTALACJE</w:t>
            </w:r>
          </w:p>
          <w:p w14:paraId="47D474F7"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podejścia wodne do przyborów; zaślepione trójniki na pionach kanalizacyjnych bez białego montażu;</w:t>
            </w:r>
          </w:p>
          <w:p w14:paraId="3C980265"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wypust oświetleniowy, kinkiet;</w:t>
            </w:r>
          </w:p>
          <w:p w14:paraId="2EA0AE4A"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lastRenderedPageBreak/>
              <w:t>puszki pod gniazdka w łazience i WC;</w:t>
            </w:r>
          </w:p>
          <w:p w14:paraId="654B1F4D"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puszka gniazdo pralki.</w:t>
            </w:r>
          </w:p>
          <w:p w14:paraId="0DFCC5AF"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CENTRALNEGO OGRZEWANIA:</w:t>
            </w:r>
          </w:p>
          <w:p w14:paraId="353895F4"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doprowadzenie do grzejników;</w:t>
            </w:r>
          </w:p>
          <w:p w14:paraId="56DD8123"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lokalowa z tworzywa sztucznego;</w:t>
            </w:r>
          </w:p>
          <w:p w14:paraId="0AB01135"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WODNA:</w:t>
            </w:r>
          </w:p>
          <w:p w14:paraId="1F90CA8A"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lokalowa z tworzywa sztucznego;</w:t>
            </w:r>
          </w:p>
          <w:p w14:paraId="10B6D106"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indywidualne  wodomierze  zimnej wody</w:t>
            </w:r>
          </w:p>
          <w:p w14:paraId="507D9232"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KANALIZACYJNA:</w:t>
            </w:r>
          </w:p>
          <w:p w14:paraId="7C5E58C9"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piony i podejścia z tworzywa sztucznego, zaślepione trójniki na pionach kanalizacyjnych.</w:t>
            </w:r>
          </w:p>
          <w:p w14:paraId="4A8101F1"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WENTYLACYJNA:</w:t>
            </w:r>
          </w:p>
          <w:p w14:paraId="52345C2E" w14:textId="77777777" w:rsidR="005F24D7" w:rsidRDefault="005F24D7" w:rsidP="005F24D7">
            <w:pPr>
              <w:widowControl w:val="0"/>
              <w:numPr>
                <w:ilvl w:val="0"/>
                <w:numId w:val="11"/>
              </w:numPr>
              <w:tabs>
                <w:tab w:val="left" w:pos="-6197"/>
              </w:tabs>
              <w:suppressAutoHyphens/>
              <w:jc w:val="both"/>
              <w:rPr>
                <w:rFonts w:cs="Calibri"/>
                <w:sz w:val="20"/>
                <w:szCs w:val="20"/>
              </w:rPr>
            </w:pPr>
            <w:r>
              <w:rPr>
                <w:rFonts w:cs="Calibri"/>
                <w:sz w:val="20"/>
                <w:szCs w:val="20"/>
              </w:rPr>
              <w:t>podciśnieniowy nawiew powietrza zewnętrznego nawiewnikami okiennymi, wywiew powietrza przy pomocy zbiorczych wentylatorów dachowych;</w:t>
            </w:r>
          </w:p>
          <w:p w14:paraId="3DC1448D"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 kuchni dodatkowy pion do podłączenia  okapu</w:t>
            </w:r>
          </w:p>
          <w:p w14:paraId="3A6FA805"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ELEKTRYCZNA</w:t>
            </w:r>
          </w:p>
          <w:p w14:paraId="688D96A4"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wypusty oświetleniowe we wszystkich pomieszczeniach lokalu;</w:t>
            </w:r>
          </w:p>
          <w:p w14:paraId="1AD8EEB7"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rozdzielnia  mieszkaniowa  usytuowana  nad drzwiami wejściowymi lub w kotłowni.</w:t>
            </w:r>
          </w:p>
          <w:p w14:paraId="0F4AB3DB"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INSTALACJE TELETECHNICZNE:</w:t>
            </w:r>
          </w:p>
          <w:p w14:paraId="3FE29613"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RTV;</w:t>
            </w:r>
          </w:p>
          <w:p w14:paraId="72A4359C"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systemu domofonowego  bez osprzętu;</w:t>
            </w:r>
          </w:p>
          <w:p w14:paraId="20A9924B"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dzwonkowa .</w:t>
            </w:r>
          </w:p>
          <w:p w14:paraId="245DFB06"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POSADZKI:</w:t>
            </w:r>
          </w:p>
          <w:p w14:paraId="4473DC5D"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wylewka betonowa około60 mm.</w:t>
            </w:r>
          </w:p>
          <w:p w14:paraId="2BD9A4B1" w14:textId="77777777" w:rsidR="005F24D7" w:rsidRDefault="005F24D7" w:rsidP="005F24D7">
            <w:pPr>
              <w:shd w:val="clear" w:color="auto" w:fill="FFFFFF"/>
              <w:spacing w:before="30" w:line="270" w:lineRule="exact"/>
              <w:jc w:val="both"/>
              <w:rPr>
                <w:rStyle w:val="Domylnaczcionkaakapitu1"/>
                <w:rFonts w:eastAsia="Tahoma"/>
                <w:color w:val="000000"/>
              </w:rPr>
            </w:pPr>
            <w:r>
              <w:rPr>
                <w:rFonts w:cs="Calibri"/>
                <w:sz w:val="20"/>
                <w:szCs w:val="20"/>
              </w:rPr>
              <w:t>WYSOKOSC POMIESZCZEŃ:</w:t>
            </w:r>
          </w:p>
          <w:p w14:paraId="578FEA06" w14:textId="77777777" w:rsidR="005F24D7" w:rsidRDefault="005F24D7" w:rsidP="005F24D7">
            <w:pPr>
              <w:widowControl w:val="0"/>
              <w:numPr>
                <w:ilvl w:val="0"/>
                <w:numId w:val="11"/>
              </w:numPr>
              <w:shd w:val="clear" w:color="auto" w:fill="FFFFFF"/>
              <w:suppressAutoHyphens/>
              <w:spacing w:before="30" w:line="270" w:lineRule="exact"/>
              <w:jc w:val="both"/>
              <w:rPr>
                <w:rFonts w:eastAsia="Tahoma"/>
              </w:rPr>
            </w:pPr>
            <w:r>
              <w:rPr>
                <w:rStyle w:val="Domylnaczcionkaakapitu1"/>
                <w:rFonts w:eastAsia="Tahoma" w:cs="Calibri"/>
                <w:color w:val="000000"/>
                <w:sz w:val="20"/>
                <w:szCs w:val="20"/>
              </w:rPr>
              <w:t>około 265 cm.</w:t>
            </w:r>
          </w:p>
          <w:p w14:paraId="70479510" w14:textId="4711CC35" w:rsidR="00EF0C78" w:rsidRPr="00EF0C78" w:rsidRDefault="00EF0C78" w:rsidP="00EF0C78">
            <w:pPr>
              <w:spacing w:line="256" w:lineRule="auto"/>
              <w:ind w:left="2"/>
              <w:rPr>
                <w:rFonts w:ascii="Times New Roman" w:hAnsi="Times New Roman"/>
                <w:color w:val="000000"/>
                <w:sz w:val="20"/>
              </w:rPr>
            </w:pPr>
          </w:p>
        </w:tc>
      </w:tr>
      <w:tr w:rsidR="00EF0C78" w:rsidRPr="00EF0C78" w14:paraId="50A883D1" w14:textId="77777777" w:rsidTr="00EF0C78">
        <w:trPr>
          <w:trHeight w:val="289"/>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374A7FE" w14:textId="77777777" w:rsidR="00EF0C78" w:rsidRPr="00EF0C78" w:rsidRDefault="00EF0C78" w:rsidP="00EF0C78">
            <w:pPr>
              <w:spacing w:after="1" w:line="235" w:lineRule="auto"/>
              <w:ind w:right="533"/>
              <w:rPr>
                <w:rFonts w:ascii="Times New Roman" w:hAnsi="Times New Roman"/>
                <w:color w:val="000000"/>
                <w:sz w:val="20"/>
              </w:rPr>
            </w:pPr>
            <w:r w:rsidRPr="00EF0C78">
              <w:rPr>
                <w:rFonts w:ascii="Times New Roman" w:hAnsi="Times New Roman"/>
                <w:color w:val="000000"/>
                <w:sz w:val="20"/>
              </w:rPr>
              <w:lastRenderedPageBreak/>
              <w:t xml:space="preserve">Data wydania zaświadczenia o samodzielności lokalu </w:t>
            </w:r>
          </w:p>
          <w:p w14:paraId="0D5D97BD"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mieszkalnego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A92E6AE" w14:textId="75E97A49"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 xml:space="preserve">Nie dotyczy </w:t>
            </w:r>
          </w:p>
        </w:tc>
      </w:tr>
      <w:tr w:rsidR="00EF0C78" w:rsidRPr="00EF0C78" w14:paraId="133172BB" w14:textId="77777777" w:rsidTr="00EF0C78">
        <w:trPr>
          <w:trHeight w:val="117"/>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BD5C443"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Data ustanowienia odrębnej własności lokalu mieszkalnego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02D7284B" w14:textId="2EC0C063"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 xml:space="preserve">Nie dotyczy </w:t>
            </w:r>
          </w:p>
        </w:tc>
      </w:tr>
      <w:tr w:rsidR="00EF0C78" w:rsidRPr="00EF0C78" w14:paraId="0489874B" w14:textId="77777777" w:rsidTr="00EF0C78">
        <w:trPr>
          <w:trHeight w:val="411"/>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B0B2D3A" w14:textId="77777777" w:rsidR="00EF0C78" w:rsidRPr="00EF0C78" w:rsidRDefault="00EF0C78" w:rsidP="00EF0C78">
            <w:pPr>
              <w:spacing w:line="256" w:lineRule="auto"/>
              <w:ind w:right="50"/>
              <w:rPr>
                <w:rFonts w:ascii="Times New Roman" w:hAnsi="Times New Roman"/>
                <w:color w:val="000000"/>
                <w:sz w:val="20"/>
              </w:rPr>
            </w:pPr>
            <w:r w:rsidRPr="00EF0C78">
              <w:rPr>
                <w:rFonts w:ascii="Times New Roman" w:hAnsi="Times New Roman"/>
                <w:color w:val="000000"/>
                <w:sz w:val="20"/>
              </w:rPr>
              <w:t xml:space="preserve">Informacje o lokalu użytkowym nabywanym równocześnie z lokalem mieszkalnym albo domem jednorodzinnym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26D2EAE1" w14:textId="41AF0767"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Nie dotyczy</w:t>
            </w:r>
          </w:p>
        </w:tc>
      </w:tr>
      <w:tr w:rsidR="00EF0C78" w:rsidRPr="00EF0C78" w14:paraId="5E415C3C" w14:textId="77777777" w:rsidTr="00EF0C78">
        <w:trPr>
          <w:trHeight w:val="18"/>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FBA6" w14:textId="635BE05B"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Cen</w:t>
            </w:r>
            <w:r w:rsidR="004F26D3">
              <w:rPr>
                <w:rFonts w:ascii="Times New Roman" w:hAnsi="Times New Roman"/>
                <w:color w:val="000000"/>
                <w:sz w:val="20"/>
              </w:rPr>
              <w:t>a</w:t>
            </w:r>
            <w:r w:rsidRPr="00EF0C78">
              <w:rPr>
                <w:rFonts w:ascii="Times New Roman" w:hAnsi="Times New Roman"/>
                <w:color w:val="000000"/>
                <w:sz w:val="20"/>
              </w:rPr>
              <w:t xml:space="preserve"> lokalu użytkowego albo ułamkowej części własności lokalu użytkowego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21DDA02" w14:textId="550287DE"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Nie dotyczy</w:t>
            </w:r>
          </w:p>
        </w:tc>
      </w:tr>
      <w:tr w:rsidR="00EF0C78" w:rsidRPr="00EF0C78" w14:paraId="27C3985F" w14:textId="77777777" w:rsidTr="00EF0C78">
        <w:trPr>
          <w:trHeight w:val="1217"/>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C7C5E04"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Termin, do którego nastąpi przeniesienie prawa własności lokalu użytkowego albo ułamkowej części własności lokalu użytkowego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1A2F685E" w14:textId="096E22D6"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Nie dotyczy</w:t>
            </w:r>
          </w:p>
        </w:tc>
      </w:tr>
    </w:tbl>
    <w:p w14:paraId="0169E884" w14:textId="77777777" w:rsidR="00EF0C78" w:rsidRPr="00EA1C22" w:rsidRDefault="00EF0C78" w:rsidP="00EA1C22">
      <w:pPr>
        <w:spacing w:beforeLines="60" w:before="144" w:afterLines="60" w:after="144" w:line="240" w:lineRule="auto"/>
        <w:jc w:val="both"/>
        <w:rPr>
          <w:rFonts w:ascii="Times New Roman" w:eastAsia="Times New Roman" w:hAnsi="Times New Roman" w:cs="Times New Roman"/>
          <w:b/>
          <w:sz w:val="20"/>
          <w:szCs w:val="20"/>
        </w:rPr>
      </w:pPr>
    </w:p>
    <w:p w14:paraId="709FF6FD" w14:textId="77777777" w:rsidR="00EA1C22" w:rsidRPr="00EA1C22" w:rsidRDefault="00EA1C22" w:rsidP="00EA1C22">
      <w:pPr>
        <w:spacing w:beforeLines="60" w:before="144" w:afterLines="60" w:after="144" w:line="240" w:lineRule="auto"/>
        <w:rPr>
          <w:rFonts w:ascii="Times New Roman" w:eastAsia="Times New Roman" w:hAnsi="Times New Roman" w:cs="Times New Roman"/>
          <w:b/>
          <w:sz w:val="20"/>
          <w:szCs w:val="20"/>
        </w:rPr>
      </w:pPr>
    </w:p>
    <w:p w14:paraId="43D337A1" w14:textId="77777777" w:rsidR="00EA1C22" w:rsidRPr="00EA1C22" w:rsidRDefault="00EA1C22" w:rsidP="00EA1C22">
      <w:pPr>
        <w:spacing w:beforeLines="60" w:before="144" w:afterLines="60" w:after="144" w:line="240" w:lineRule="auto"/>
        <w:jc w:val="right"/>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Podpis osoby upoważnionej do reprezentacji dewelopera</w:t>
      </w:r>
    </w:p>
    <w:p w14:paraId="1909EEBC" w14:textId="77777777" w:rsidR="00920895" w:rsidRDefault="00920895" w:rsidP="00EA1C22">
      <w:pPr>
        <w:spacing w:beforeLines="60" w:before="144" w:afterLines="60" w:after="144" w:line="240" w:lineRule="auto"/>
        <w:jc w:val="right"/>
        <w:rPr>
          <w:rFonts w:ascii="Times New Roman" w:eastAsia="Times New Roman" w:hAnsi="Times New Roman" w:cs="Times New Roman"/>
          <w:b/>
          <w:sz w:val="20"/>
          <w:szCs w:val="20"/>
        </w:rPr>
      </w:pPr>
    </w:p>
    <w:p w14:paraId="2D187492" w14:textId="77777777" w:rsidR="00EA1C22" w:rsidRPr="00EA1C22" w:rsidRDefault="00EA1C22" w:rsidP="00EA1C22">
      <w:pPr>
        <w:spacing w:beforeLines="60" w:before="144" w:afterLines="60" w:after="144" w:line="240" w:lineRule="auto"/>
        <w:jc w:val="right"/>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w:t>
      </w:r>
    </w:p>
    <w:p w14:paraId="1E3CC973"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p>
    <w:p w14:paraId="1D091466"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p>
    <w:p w14:paraId="00605BC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noProof/>
          <w:sz w:val="20"/>
          <w:szCs w:val="20"/>
          <w:lang w:eastAsia="pl-PL"/>
        </w:rPr>
        <mc:AlternateContent>
          <mc:Choice Requires="wps">
            <w:drawing>
              <wp:anchor distT="0" distB="0" distL="114300" distR="114300" simplePos="0" relativeHeight="251660288" behindDoc="0" locked="0" layoutInCell="1" allowOverlap="1" wp14:anchorId="029A1E6D" wp14:editId="6D8DED46">
                <wp:simplePos x="0" y="0"/>
                <wp:positionH relativeFrom="column">
                  <wp:posOffset>-800100</wp:posOffset>
                </wp:positionH>
                <wp:positionV relativeFrom="paragraph">
                  <wp:posOffset>10160</wp:posOffset>
                </wp:positionV>
                <wp:extent cx="7543800" cy="0"/>
                <wp:effectExtent l="17145" t="16510" r="20955" b="21590"/>
                <wp:wrapNone/>
                <wp:docPr id="2"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438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5B6CDC" id="Line 20"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8pt" to="531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" strokeweight="2.25pt"/>
            </w:pict>
          </mc:Fallback>
        </mc:AlternateContent>
      </w:r>
    </w:p>
    <w:p w14:paraId="0BAEC402"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Załączniki:</w:t>
      </w:r>
    </w:p>
    <w:p w14:paraId="4AA22FDC" w14:textId="411BF884"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1. Rzut kondygnacji z zaznaczeniem </w:t>
      </w:r>
      <w:r w:rsidR="00744C82">
        <w:rPr>
          <w:rFonts w:ascii="Times New Roman" w:eastAsia="Times New Roman" w:hAnsi="Times New Roman" w:cs="Times New Roman"/>
          <w:sz w:val="20"/>
          <w:szCs w:val="20"/>
        </w:rPr>
        <w:t>budynku</w:t>
      </w:r>
      <w:r w:rsidRPr="00EA1C22">
        <w:rPr>
          <w:rFonts w:ascii="Times New Roman" w:eastAsia="Times New Roman" w:hAnsi="Times New Roman" w:cs="Times New Roman"/>
          <w:sz w:val="20"/>
          <w:szCs w:val="20"/>
        </w:rPr>
        <w:t xml:space="preserve"> mieszkalnego.</w:t>
      </w:r>
    </w:p>
    <w:p w14:paraId="4B12D671" w14:textId="170ED3A5"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2. Wzór umowy deweloperskiej lub umowy, o której mowa w art. 2 ust. 1 pkt 2, 3 lub 5 ustawy z dnia </w:t>
      </w:r>
      <w:r w:rsidR="00EF0C78" w:rsidRPr="00EF0C78">
        <w:rPr>
          <w:rFonts w:ascii="Times New Roman" w:eastAsia="Times New Roman" w:hAnsi="Times New Roman" w:cs="Times New Roman"/>
          <w:sz w:val="20"/>
          <w:szCs w:val="20"/>
        </w:rPr>
        <w:t>20 maja</w:t>
      </w:r>
      <w:r w:rsidR="00EF0C78">
        <w:rPr>
          <w:rFonts w:ascii="Times New Roman" w:eastAsia="Times New Roman" w:hAnsi="Times New Roman" w:cs="Times New Roman"/>
          <w:sz w:val="20"/>
          <w:szCs w:val="20"/>
        </w:rPr>
        <w:t xml:space="preserve"> </w:t>
      </w:r>
      <w:r w:rsidR="00EF0C78" w:rsidRPr="00EF0C78">
        <w:rPr>
          <w:rFonts w:ascii="Times New Roman" w:eastAsia="Times New Roman" w:hAnsi="Times New Roman" w:cs="Times New Roman"/>
          <w:sz w:val="20"/>
          <w:szCs w:val="20"/>
        </w:rPr>
        <w:t>2021 r. o ochronie praw nabywcy lokalu mieszkalnego lub domu jednorodzinnego oraz Deweloperskim Funduszu</w:t>
      </w:r>
      <w:r w:rsidR="00EF0C78">
        <w:rPr>
          <w:rFonts w:ascii="Times New Roman" w:eastAsia="Times New Roman" w:hAnsi="Times New Roman" w:cs="Times New Roman"/>
          <w:sz w:val="20"/>
          <w:szCs w:val="20"/>
        </w:rPr>
        <w:t xml:space="preserve"> </w:t>
      </w:r>
      <w:r w:rsidR="00EF0C78" w:rsidRPr="00EF0C78">
        <w:rPr>
          <w:rFonts w:ascii="Times New Roman" w:eastAsia="Times New Roman" w:hAnsi="Times New Roman" w:cs="Times New Roman"/>
          <w:sz w:val="20"/>
          <w:szCs w:val="20"/>
        </w:rPr>
        <w:t>Gwarancyjnym</w:t>
      </w:r>
      <w:r w:rsidRPr="00EA1C22">
        <w:rPr>
          <w:rFonts w:ascii="Times New Roman" w:eastAsia="Times New Roman" w:hAnsi="Times New Roman" w:cs="Times New Roman"/>
          <w:sz w:val="20"/>
          <w:szCs w:val="20"/>
        </w:rPr>
        <w:t>.</w:t>
      </w:r>
    </w:p>
    <w:p w14:paraId="2CB97B34"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3. Szkic koncepcji zagospodarowania terenu inwestycji i jego otoczenia z zaznaczeniem budynku oraz istotnych uwarunkowań lokalizacji inwestycji wynikających z przepisów odrębnych oraz z istniejącego i planowanego stanu użytkowania terenów sąsiednich (np. z funkcji terenu, stref ochronnych, uciążliwości). </w:t>
      </w:r>
    </w:p>
    <w:p w14:paraId="62B83EAC"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noProof/>
          <w:sz w:val="20"/>
          <w:szCs w:val="20"/>
          <w:lang w:eastAsia="pl-PL"/>
        </w:rPr>
        <mc:AlternateContent>
          <mc:Choice Requires="wps">
            <w:drawing>
              <wp:anchor distT="0" distB="0" distL="114300" distR="114300" simplePos="0" relativeHeight="251661312" behindDoc="0" locked="0" layoutInCell="1" allowOverlap="1" wp14:anchorId="78D480AD" wp14:editId="0B59737F">
                <wp:simplePos x="0" y="0"/>
                <wp:positionH relativeFrom="column">
                  <wp:posOffset>-800100</wp:posOffset>
                </wp:positionH>
                <wp:positionV relativeFrom="paragraph">
                  <wp:posOffset>84455</wp:posOffset>
                </wp:positionV>
                <wp:extent cx="7543800" cy="0"/>
                <wp:effectExtent l="17145" t="19050" r="20955" b="19050"/>
                <wp:wrapNone/>
                <wp:docPr id="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438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C4F7C6" id="Line 19"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6.65pt" to="531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" strokeweight="2.25pt"/>
            </w:pict>
          </mc:Fallback>
        </mc:AlternateContent>
      </w:r>
    </w:p>
    <w:p w14:paraId="514942F2" w14:textId="77777777" w:rsidR="007F577D" w:rsidRDefault="007F577D"/>
    <w:sectPr w:rsidR="007F577D" w:rsidSect="00A80C58">
      <w:footerReference w:type="default" r:id="rId9"/>
      <w:footerReference w:type="first" r:id="rId10"/>
      <w:footnotePr>
        <w:numRestart w:val="eachPage"/>
      </w:footnotePr>
      <w:pgSz w:w="11906" w:h="16838"/>
      <w:pgMar w:top="1417" w:right="1417" w:bottom="1417" w:left="1417" w:header="709" w:footer="709" w:gutter="0"/>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B1BC3E" w14:textId="77777777" w:rsidR="009343E8" w:rsidRDefault="009343E8" w:rsidP="00EA1C22">
      <w:pPr>
        <w:spacing w:after="0" w:line="240" w:lineRule="auto"/>
      </w:pPr>
      <w:r>
        <w:separator/>
      </w:r>
    </w:p>
  </w:endnote>
  <w:endnote w:type="continuationSeparator" w:id="0">
    <w:p w14:paraId="06C5B4C4" w14:textId="77777777" w:rsidR="009343E8" w:rsidRDefault="009343E8" w:rsidP="00EA1C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Univers-PL">
    <w:altName w:val="Arial Unicode MS"/>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pple-system">
    <w:altName w:val="Cambria"/>
    <w:charset w:val="EE"/>
    <w:family w:val="roman"/>
    <w:pitch w:val="variable"/>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8071566"/>
      <w:docPartObj>
        <w:docPartGallery w:val="Page Numbers (Bottom of Page)"/>
        <w:docPartUnique/>
      </w:docPartObj>
    </w:sdtPr>
    <w:sdtEndPr>
      <w:rPr>
        <w:rFonts w:ascii="Times New Roman" w:hAnsi="Times New Roman" w:cs="Times New Roman"/>
        <w:sz w:val="24"/>
      </w:rPr>
    </w:sdtEndPr>
    <w:sdtContent>
      <w:p w14:paraId="309A468F" w14:textId="77777777" w:rsidR="00143535" w:rsidRPr="007E3E4D" w:rsidRDefault="00143535" w:rsidP="007E3E4D">
        <w:pPr>
          <w:pStyle w:val="Stopka"/>
          <w:jc w:val="center"/>
          <w:rPr>
            <w:rFonts w:ascii="Times New Roman" w:hAnsi="Times New Roman" w:cs="Times New Roman"/>
            <w:sz w:val="24"/>
          </w:rPr>
        </w:pPr>
        <w:r w:rsidRPr="00143535">
          <w:rPr>
            <w:rFonts w:ascii="Times New Roman" w:hAnsi="Times New Roman" w:cs="Times New Roman"/>
            <w:sz w:val="24"/>
          </w:rPr>
          <w:fldChar w:fldCharType="begin"/>
        </w:r>
        <w:r w:rsidRPr="00143535">
          <w:rPr>
            <w:rFonts w:ascii="Times New Roman" w:hAnsi="Times New Roman" w:cs="Times New Roman"/>
            <w:sz w:val="24"/>
          </w:rPr>
          <w:instrText>PAGE   \* MERGEFORMAT</w:instrText>
        </w:r>
        <w:r w:rsidRPr="00143535">
          <w:rPr>
            <w:rFonts w:ascii="Times New Roman" w:hAnsi="Times New Roman" w:cs="Times New Roman"/>
            <w:sz w:val="24"/>
          </w:rPr>
          <w:fldChar w:fldCharType="separate"/>
        </w:r>
        <w:r w:rsidR="007E222B">
          <w:rPr>
            <w:rFonts w:ascii="Times New Roman" w:hAnsi="Times New Roman" w:cs="Times New Roman"/>
            <w:noProof/>
            <w:sz w:val="24"/>
          </w:rPr>
          <w:t>10</w:t>
        </w:r>
        <w:r w:rsidRPr="00143535">
          <w:rPr>
            <w:rFonts w:ascii="Times New Roman" w:hAnsi="Times New Roman" w:cs="Times New Roman"/>
            <w:sz w:val="24"/>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249F9" w14:textId="77777777" w:rsidR="00143535" w:rsidRDefault="00143535">
    <w:pPr>
      <w:pStyle w:val="Stopka"/>
      <w:jc w:val="center"/>
    </w:pPr>
  </w:p>
  <w:p w14:paraId="59FCC0AE" w14:textId="77777777" w:rsidR="00143535" w:rsidRDefault="0014353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F60A6" w14:textId="77777777" w:rsidR="009343E8" w:rsidRDefault="009343E8" w:rsidP="00EA1C22">
      <w:pPr>
        <w:spacing w:after="0" w:line="240" w:lineRule="auto"/>
      </w:pPr>
      <w:r>
        <w:separator/>
      </w:r>
    </w:p>
  </w:footnote>
  <w:footnote w:type="continuationSeparator" w:id="0">
    <w:p w14:paraId="64DED6ED" w14:textId="77777777" w:rsidR="009343E8" w:rsidRDefault="009343E8" w:rsidP="00EA1C22">
      <w:pPr>
        <w:spacing w:after="0" w:line="240" w:lineRule="auto"/>
      </w:pPr>
      <w:r>
        <w:continuationSeparator/>
      </w:r>
    </w:p>
  </w:footnote>
  <w:footnote w:id="1">
    <w:p w14:paraId="262257A6" w14:textId="2F175AD1" w:rsidR="00D45FD0" w:rsidRPr="00D45FD0" w:rsidRDefault="00D45FD0" w:rsidP="00D45FD0">
      <w:pPr>
        <w:pStyle w:val="Tekstprzypisudolnego"/>
        <w:ind w:left="284" w:hanging="284"/>
        <w:jc w:val="both"/>
        <w:rPr>
          <w:rFonts w:ascii="Times New Roman" w:hAnsi="Times New Roman"/>
          <w:sz w:val="16"/>
          <w:szCs w:val="16"/>
        </w:rPr>
      </w:pPr>
      <w:r>
        <w:rPr>
          <w:rStyle w:val="Odwoanieprzypisudolnego"/>
        </w:rPr>
        <w:t>1)</w:t>
      </w:r>
      <w:r>
        <w:t xml:space="preserve"> </w:t>
      </w:r>
      <w:r w:rsidRPr="00D45FD0">
        <w:rPr>
          <w:rFonts w:ascii="Times New Roman" w:hAnsi="Times New Roman"/>
          <w:sz w:val="16"/>
          <w:szCs w:val="16"/>
        </w:rPr>
        <w:t>Jeżeli działka nie posiada adresu, należy opisowo określić jej położenie.</w:t>
      </w:r>
    </w:p>
  </w:footnote>
  <w:footnote w:id="2">
    <w:p w14:paraId="04AB69F9" w14:textId="6FAF733F" w:rsidR="00D45FD0" w:rsidRPr="00D45FD0" w:rsidRDefault="00D45FD0" w:rsidP="00D45FD0">
      <w:pPr>
        <w:pStyle w:val="Tekstprzypisudolnego"/>
        <w:ind w:left="284" w:hanging="284"/>
        <w:jc w:val="both"/>
        <w:rPr>
          <w:rFonts w:ascii="Times New Roman" w:hAnsi="Times New Roman" w:cs="Times New Roman"/>
          <w:sz w:val="18"/>
          <w:szCs w:val="18"/>
        </w:rPr>
      </w:pPr>
      <w:r>
        <w:rPr>
          <w:rStyle w:val="Odwoanieprzypisudolnego"/>
        </w:rPr>
        <w:t>2)</w:t>
      </w:r>
      <w:r>
        <w:t xml:space="preserve"> </w:t>
      </w:r>
      <w:r w:rsidRPr="00F36B89">
        <w:rPr>
          <w:rFonts w:ascii="Times New Roman" w:hAnsi="Times New Roman" w:cs="Times New Roman"/>
          <w:sz w:val="16"/>
          <w:szCs w:val="16"/>
        </w:rPr>
        <w:t>W szczególności imię i nazwisko albo firma właściciela lub użytkownika wieczystego oraz istniejące obciążenia na nieruchomości.</w:t>
      </w:r>
    </w:p>
  </w:footnote>
  <w:footnote w:id="3">
    <w:p w14:paraId="44CEB2BD" w14:textId="46D4E058" w:rsidR="00D45FD0" w:rsidRPr="00D45FD0" w:rsidRDefault="00D45FD0" w:rsidP="00D45FD0">
      <w:pPr>
        <w:pStyle w:val="Tekstprzypisudolnego"/>
        <w:ind w:left="284" w:hanging="284"/>
        <w:jc w:val="both"/>
        <w:rPr>
          <w:rFonts w:ascii="Times New Roman" w:hAnsi="Times New Roman" w:cs="Times New Roman"/>
          <w:sz w:val="16"/>
          <w:szCs w:val="16"/>
        </w:rPr>
      </w:pPr>
      <w:r>
        <w:rPr>
          <w:rStyle w:val="Odwoanieprzypisudolnego"/>
        </w:rPr>
        <w:t>3)</w:t>
      </w:r>
      <w:r>
        <w:t xml:space="preserve"> </w:t>
      </w:r>
      <w:r w:rsidRPr="003669F6">
        <w:rPr>
          <w:rFonts w:ascii="Times New Roman" w:hAnsi="Times New Roman" w:cs="Times New Roman"/>
          <w:sz w:val="16"/>
          <w:szCs w:val="16"/>
        </w:rPr>
        <w:t>W szczególności obiekty generujące uciążliwości zapachowe, hałasowe, świetlne.</w:t>
      </w:r>
    </w:p>
  </w:footnote>
  <w:footnote w:id="4">
    <w:p w14:paraId="73FEC7FF" w14:textId="77777777" w:rsidR="00D45FD0" w:rsidRPr="003669F6" w:rsidRDefault="00D45FD0" w:rsidP="00D45FD0">
      <w:pPr>
        <w:spacing w:after="0" w:line="240" w:lineRule="auto"/>
        <w:jc w:val="both"/>
        <w:rPr>
          <w:rFonts w:ascii="Times New Roman" w:hAnsi="Times New Roman" w:cs="Times New Roman"/>
          <w:sz w:val="16"/>
          <w:szCs w:val="16"/>
        </w:rPr>
      </w:pPr>
      <w:r>
        <w:rPr>
          <w:rStyle w:val="Odwoanieprzypisudolnego"/>
        </w:rPr>
        <w:t>4)</w:t>
      </w:r>
      <w:r>
        <w:t xml:space="preserve"> </w:t>
      </w:r>
      <w:r w:rsidRPr="003669F6">
        <w:rPr>
          <w:rFonts w:ascii="Times New Roman" w:hAnsi="Times New Roman" w:cs="Times New Roman"/>
          <w:sz w:val="16"/>
          <w:szCs w:val="16"/>
        </w:rPr>
        <w:t>Akty prawne (rozporządzenia, zarządzenia, uchwały) w sprawie:</w:t>
      </w:r>
    </w:p>
    <w:p w14:paraId="104B8823" w14:textId="03F5B573" w:rsidR="00D45FD0" w:rsidRPr="003669F6" w:rsidRDefault="00A85871"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A85871">
        <w:rPr>
          <w:rFonts w:cs="Times New Roman"/>
          <w:sz w:val="16"/>
          <w:szCs w:val="16"/>
        </w:rPr>
        <w:t>dotyczących Inwestycji, Inwestycji Towarzyszących oraz obszaru otoczenia CPK</w:t>
      </w:r>
      <w:r w:rsidR="00D45FD0" w:rsidRPr="003669F6">
        <w:rPr>
          <w:rFonts w:cs="Times New Roman"/>
          <w:sz w:val="16"/>
          <w:szCs w:val="16"/>
        </w:rPr>
        <w:t>,</w:t>
      </w:r>
    </w:p>
    <w:p w14:paraId="3CB25BFD"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lokalizacji inwestycji mieszkaniowej lub inwestycji towarzyszącej,</w:t>
      </w:r>
    </w:p>
    <w:p w14:paraId="217FD85F"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ustanowienia form ochrony przyrody lub ich otulin (parku narodowego, rezerwatu przyrody, parku krajobrazowego, obszaru chronionego krajobrazu, obszaru Natura 2000, pomnika przyrody, stanowiska dokumentacyjnego, użytku ekologicznego, zespołu przyrodniczo-krajobrazowego, ochrony gatunkowej roślin, zwierząt i grzybów),</w:t>
      </w:r>
    </w:p>
    <w:p w14:paraId="409C77B9"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ustanowienia strefy ochronnej terenu ochrony bezpośredniej i terenu ochrony pośredniej ujęcia wody,</w:t>
      </w:r>
    </w:p>
    <w:p w14:paraId="4DA9CB6C"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wyznaczenia obszarów cichych w aglomeracji lub obszarów cichych poza aglomeracją,</w:t>
      </w:r>
    </w:p>
    <w:p w14:paraId="05EDD890"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utworzenia obszaru ograniczonego użytkowania,</w:t>
      </w:r>
    </w:p>
    <w:p w14:paraId="1099B620"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uznania zabytku za pomnik historii,</w:t>
      </w:r>
    </w:p>
    <w:p w14:paraId="73ECAABC"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określenia granic obszaru Pomnika Zagłady i jego strefy ochronnej, utworzenia parku kulturowego,</w:t>
      </w:r>
    </w:p>
    <w:p w14:paraId="1E34672E" w14:textId="595EE894" w:rsidR="00D45FD0" w:rsidRPr="00D45FD0"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ustalenia zasad i warunków sytuowania obiektów małej architektury, tablic reklamowych i urządzeń reklamowych oraz ogrodzeń, ich gabarytów, standardów jakościowych oraz rodzajów materiałów budowlanych.</w:t>
      </w:r>
    </w:p>
  </w:footnote>
  <w:footnote w:id="5">
    <w:p w14:paraId="2EA5FA30" w14:textId="4432FC83" w:rsidR="00D45FD0" w:rsidRDefault="00D45FD0">
      <w:pPr>
        <w:pStyle w:val="Tekstprzypisudolnego"/>
      </w:pPr>
      <w:r>
        <w:rPr>
          <w:rStyle w:val="Odwoanieprzypisudolnego"/>
        </w:rPr>
        <w:t>5)</w:t>
      </w:r>
      <w:r>
        <w:t xml:space="preserve"> </w:t>
      </w:r>
      <w:r w:rsidRPr="00077623">
        <w:rPr>
          <w:rFonts w:ascii="Times New Roman" w:hAnsi="Times New Roman"/>
          <w:sz w:val="18"/>
          <w:szCs w:val="18"/>
        </w:rPr>
        <w:t>W przypadku braku miejscowego planu zagospodarowania przestrzennego umieszcza się informację „Brak planu”</w:t>
      </w:r>
      <w:r>
        <w:rPr>
          <w:rFonts w:ascii="Times New Roman" w:hAnsi="Times New Roman"/>
          <w:sz w:val="18"/>
          <w:szCs w:val="18"/>
        </w:rPr>
        <w:t>.</w:t>
      </w:r>
    </w:p>
  </w:footnote>
  <w:footnote w:id="6">
    <w:p w14:paraId="23EE02B4" w14:textId="51177021" w:rsidR="00A85871" w:rsidRDefault="00A85871">
      <w:pPr>
        <w:pStyle w:val="Tekstprzypisudolnego"/>
      </w:pPr>
      <w:r>
        <w:rPr>
          <w:rStyle w:val="Odwoanieprzypisudolnego"/>
        </w:rPr>
        <w:t>6)</w:t>
      </w:r>
      <w:r>
        <w:t xml:space="preserve"> </w:t>
      </w:r>
      <w:r w:rsidRPr="009E3AD9">
        <w:rPr>
          <w:rFonts w:ascii="Times New Roman" w:hAnsi="Times New Roman"/>
          <w:sz w:val="16"/>
          <w:szCs w:val="16"/>
        </w:rPr>
        <w:t>Wskazane inwestycje dotyczą w szczególności budowy lub rozbudowy dróg, budowy linii szynowych oraz przewidzianych korytarzy powietrznych, inwestycji komunalnych, takich jak: oczyszczalnie ścieków, spalarnie śmieci, wysypiska, cmentarze.</w:t>
      </w:r>
    </w:p>
  </w:footnote>
  <w:footnote w:id="7">
    <w:p w14:paraId="75BEA10A" w14:textId="1707F974" w:rsidR="00A85871" w:rsidRDefault="00A85871" w:rsidP="00D45FD0">
      <w:pPr>
        <w:pStyle w:val="Tekstprzypisudolnego"/>
        <w:jc w:val="both"/>
        <w:rPr>
          <w:rFonts w:ascii="Times New Roman" w:hAnsi="Times New Roman"/>
          <w:sz w:val="16"/>
          <w:szCs w:val="16"/>
        </w:rPr>
      </w:pPr>
      <w:r>
        <w:rPr>
          <w:rStyle w:val="Odwoanieprzypisudolnego"/>
        </w:rPr>
        <w:t>7)</w:t>
      </w:r>
      <w:r>
        <w:t xml:space="preserve"> </w:t>
      </w:r>
      <w:r w:rsidR="00E911E1" w:rsidRPr="00E911E1">
        <w:rPr>
          <w:rFonts w:ascii="Times New Roman" w:hAnsi="Times New Roman"/>
          <w:sz w:val="16"/>
          <w:szCs w:val="16"/>
        </w:rPr>
        <w:t>Zgodnie z art. 48 ust. 6 ustawy z dnia 20 maja 2021 r. o ochronie praw nabywcy lokalu mieszkalnego lub domu jednorodzinnego oraz Deweloperskim Funduszu Gwarancyjnym (Dz. U. z 2024 r. poz. 695) wysokość składki jest wyliczana według stawki procentowej obowiązującej w dniu rozpoczęcia sprzedaży lokali mieszkalnych lub domów jednorodzinnych w ramach danego przedsięwzięcia deweloperskiego lub zadania inwestycyjnego. Natomiast stawkę procentową określa akt wykonawczy wydany na podstawie art. 48 ust. 8 ustawy z dnia 20 maja 2021 r. o ochronie praw nabywcy lokalu mieszkalnego lub domu jednorodzinnego oraz Deweloperskim Funduszu Gwarancyjnym.</w:t>
      </w:r>
    </w:p>
    <w:p w14:paraId="0854C67A" w14:textId="7FC47E79" w:rsidR="00A85871" w:rsidRDefault="00A85871" w:rsidP="00D45FD0">
      <w:pPr>
        <w:pStyle w:val="Tekstprzypisudolnego"/>
        <w:jc w:val="both"/>
      </w:pPr>
      <w:r>
        <w:rPr>
          <w:rFonts w:ascii="Times New Roman" w:hAnsi="Times New Roman"/>
          <w:sz w:val="16"/>
          <w:szCs w:val="16"/>
        </w:rPr>
        <w:t>* Niepotrzebne skreślić.</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Times New Roman"/>
        <w:b/>
        <w:bCs/>
        <w:w w:val="100"/>
        <w:sz w:val="20"/>
        <w:szCs w:val="20"/>
        <w:lang w:val="pl-PL" w:eastAsia="ar-SA" w:bidi="ar-SA"/>
      </w:rPr>
    </w:lvl>
    <w:lvl w:ilvl="1">
      <w:start w:val="1"/>
      <w:numFmt w:val="bullet"/>
      <w:lvlText w:val=""/>
      <w:lvlJc w:val="left"/>
      <w:pPr>
        <w:tabs>
          <w:tab w:val="num" w:pos="0"/>
        </w:tabs>
        <w:ind w:left="1080" w:hanging="360"/>
      </w:pPr>
      <w:rPr>
        <w:rFonts w:ascii="Symbol" w:hAnsi="Symbol" w:cs="Times New Roman"/>
        <w:b/>
        <w:bCs/>
        <w:w w:val="100"/>
        <w:sz w:val="20"/>
        <w:szCs w:val="20"/>
        <w:lang w:val="pl-PL" w:eastAsia="ar-SA" w:bidi="ar-SA"/>
      </w:rPr>
    </w:lvl>
    <w:lvl w:ilvl="2">
      <w:start w:val="1"/>
      <w:numFmt w:val="bullet"/>
      <w:lvlText w:val=""/>
      <w:lvlJc w:val="left"/>
      <w:pPr>
        <w:tabs>
          <w:tab w:val="num" w:pos="0"/>
        </w:tabs>
        <w:ind w:left="1440" w:hanging="360"/>
      </w:pPr>
      <w:rPr>
        <w:rFonts w:ascii="Symbol" w:hAnsi="Symbol" w:cs="Times New Roman"/>
        <w:b/>
        <w:bCs/>
        <w:w w:val="100"/>
        <w:sz w:val="20"/>
        <w:szCs w:val="20"/>
        <w:lang w:val="pl-PL" w:eastAsia="ar-SA" w:bidi="ar-SA"/>
      </w:rPr>
    </w:lvl>
    <w:lvl w:ilvl="3">
      <w:start w:val="1"/>
      <w:numFmt w:val="bullet"/>
      <w:lvlText w:val=""/>
      <w:lvlJc w:val="left"/>
      <w:pPr>
        <w:tabs>
          <w:tab w:val="num" w:pos="0"/>
        </w:tabs>
        <w:ind w:left="1800" w:hanging="360"/>
      </w:pPr>
      <w:rPr>
        <w:rFonts w:ascii="Symbol" w:hAnsi="Symbol" w:cs="Times New Roman"/>
        <w:b/>
        <w:bCs/>
        <w:w w:val="100"/>
        <w:sz w:val="20"/>
        <w:szCs w:val="20"/>
        <w:lang w:val="pl-PL" w:eastAsia="ar-SA" w:bidi="ar-SA"/>
      </w:rPr>
    </w:lvl>
    <w:lvl w:ilvl="4">
      <w:start w:val="1"/>
      <w:numFmt w:val="bullet"/>
      <w:lvlText w:val=""/>
      <w:lvlJc w:val="left"/>
      <w:pPr>
        <w:tabs>
          <w:tab w:val="num" w:pos="0"/>
        </w:tabs>
        <w:ind w:left="2160" w:hanging="360"/>
      </w:pPr>
      <w:rPr>
        <w:rFonts w:ascii="Symbol" w:hAnsi="Symbol" w:cs="Times New Roman"/>
        <w:b/>
        <w:bCs/>
        <w:w w:val="100"/>
        <w:sz w:val="20"/>
        <w:szCs w:val="20"/>
        <w:lang w:val="pl-PL" w:eastAsia="ar-SA" w:bidi="ar-SA"/>
      </w:rPr>
    </w:lvl>
    <w:lvl w:ilvl="5">
      <w:start w:val="1"/>
      <w:numFmt w:val="bullet"/>
      <w:lvlText w:val=""/>
      <w:lvlJc w:val="left"/>
      <w:pPr>
        <w:tabs>
          <w:tab w:val="num" w:pos="0"/>
        </w:tabs>
        <w:ind w:left="2520" w:hanging="360"/>
      </w:pPr>
      <w:rPr>
        <w:rFonts w:ascii="Symbol" w:hAnsi="Symbol" w:cs="Times New Roman"/>
        <w:b/>
        <w:bCs/>
        <w:w w:val="100"/>
        <w:sz w:val="20"/>
        <w:szCs w:val="20"/>
        <w:lang w:val="pl-PL" w:eastAsia="ar-SA" w:bidi="ar-SA"/>
      </w:rPr>
    </w:lvl>
    <w:lvl w:ilvl="6">
      <w:start w:val="1"/>
      <w:numFmt w:val="bullet"/>
      <w:lvlText w:val=""/>
      <w:lvlJc w:val="left"/>
      <w:pPr>
        <w:tabs>
          <w:tab w:val="num" w:pos="0"/>
        </w:tabs>
        <w:ind w:left="2880" w:hanging="360"/>
      </w:pPr>
      <w:rPr>
        <w:rFonts w:ascii="Symbol" w:hAnsi="Symbol" w:cs="Times New Roman"/>
        <w:b/>
        <w:bCs/>
        <w:w w:val="100"/>
        <w:sz w:val="20"/>
        <w:szCs w:val="20"/>
        <w:lang w:val="pl-PL" w:eastAsia="ar-SA" w:bidi="ar-SA"/>
      </w:rPr>
    </w:lvl>
    <w:lvl w:ilvl="7">
      <w:start w:val="1"/>
      <w:numFmt w:val="bullet"/>
      <w:lvlText w:val=""/>
      <w:lvlJc w:val="left"/>
      <w:pPr>
        <w:tabs>
          <w:tab w:val="num" w:pos="0"/>
        </w:tabs>
        <w:ind w:left="3240" w:hanging="360"/>
      </w:pPr>
      <w:rPr>
        <w:rFonts w:ascii="Symbol" w:hAnsi="Symbol" w:cs="Times New Roman"/>
        <w:b/>
        <w:bCs/>
        <w:w w:val="100"/>
        <w:sz w:val="20"/>
        <w:szCs w:val="20"/>
        <w:lang w:val="pl-PL" w:eastAsia="ar-SA" w:bidi="ar-SA"/>
      </w:rPr>
    </w:lvl>
    <w:lvl w:ilvl="8">
      <w:start w:val="1"/>
      <w:numFmt w:val="bullet"/>
      <w:lvlText w:val=""/>
      <w:lvlJc w:val="left"/>
      <w:pPr>
        <w:tabs>
          <w:tab w:val="num" w:pos="0"/>
        </w:tabs>
        <w:ind w:left="3600" w:hanging="360"/>
      </w:pPr>
      <w:rPr>
        <w:rFonts w:ascii="Symbol" w:hAnsi="Symbol" w:cs="Times New Roman"/>
        <w:b/>
        <w:bCs/>
        <w:w w:val="100"/>
        <w:sz w:val="20"/>
        <w:szCs w:val="20"/>
        <w:lang w:val="pl-PL" w:eastAsia="ar-SA" w:bidi="ar-SA"/>
      </w:rPr>
    </w:lvl>
  </w:abstractNum>
  <w:abstractNum w:abstractNumId="1" w15:restartNumberingAfterBreak="0">
    <w:nsid w:val="0000000C"/>
    <w:multiLevelType w:val="multilevel"/>
    <w:tmpl w:val="0000000C"/>
    <w:name w:val="WW8Num12"/>
    <w:lvl w:ilvl="0">
      <w:numFmt w:val="bullet"/>
      <w:lvlText w:val=""/>
      <w:lvlJc w:val="left"/>
      <w:pPr>
        <w:tabs>
          <w:tab w:val="num" w:pos="0"/>
        </w:tabs>
        <w:ind w:left="720" w:hanging="360"/>
      </w:pPr>
      <w:rPr>
        <w:rFonts w:ascii="Symbol" w:hAnsi="Symbol" w:cs="Times New Roman"/>
        <w:i w:val="0"/>
        <w:color w:val="000000"/>
      </w:rPr>
    </w:lvl>
    <w:lvl w:ilvl="1">
      <w:start w:val="1"/>
      <w:numFmt w:val="decimal"/>
      <w:lvlText w:val="%2."/>
      <w:lvlJc w:val="left"/>
      <w:pPr>
        <w:tabs>
          <w:tab w:val="num" w:pos="0"/>
        </w:tabs>
        <w:ind w:left="1080" w:hanging="360"/>
      </w:pPr>
    </w:lvl>
    <w:lvl w:ilvl="2">
      <w:start w:val="1"/>
      <w:numFmt w:val="decimal"/>
      <w:lvlText w:val="%1.%2.%3."/>
      <w:lvlJc w:val="left"/>
      <w:pPr>
        <w:tabs>
          <w:tab w:val="num" w:pos="0"/>
        </w:tabs>
        <w:ind w:left="1440" w:hanging="360"/>
      </w:pPr>
    </w:lvl>
    <w:lvl w:ilvl="3">
      <w:start w:val="1"/>
      <w:numFmt w:val="decimal"/>
      <w:lvlText w:val="%1.%2.%3.%4."/>
      <w:lvlJc w:val="left"/>
      <w:pPr>
        <w:tabs>
          <w:tab w:val="num" w:pos="0"/>
        </w:tabs>
        <w:ind w:left="1800" w:hanging="360"/>
      </w:pPr>
    </w:lvl>
    <w:lvl w:ilvl="4">
      <w:start w:val="1"/>
      <w:numFmt w:val="decimal"/>
      <w:lvlText w:val="%1.%2.%3.%4.%5."/>
      <w:lvlJc w:val="left"/>
      <w:pPr>
        <w:tabs>
          <w:tab w:val="num" w:pos="0"/>
        </w:tabs>
        <w:ind w:left="2160" w:hanging="360"/>
      </w:pPr>
    </w:lvl>
    <w:lvl w:ilvl="5">
      <w:start w:val="1"/>
      <w:numFmt w:val="decimal"/>
      <w:lvlText w:val="%1.%2.%3.%4.%5.%6."/>
      <w:lvlJc w:val="left"/>
      <w:pPr>
        <w:tabs>
          <w:tab w:val="num" w:pos="0"/>
        </w:tabs>
        <w:ind w:left="2520" w:hanging="360"/>
      </w:pPr>
    </w:lvl>
    <w:lvl w:ilvl="6">
      <w:start w:val="1"/>
      <w:numFmt w:val="decimal"/>
      <w:lvlText w:val="%1.%2.%3.%4.%5.%6.%7."/>
      <w:lvlJc w:val="left"/>
      <w:pPr>
        <w:tabs>
          <w:tab w:val="num" w:pos="0"/>
        </w:tabs>
        <w:ind w:left="2880" w:hanging="360"/>
      </w:pPr>
    </w:lvl>
    <w:lvl w:ilvl="7">
      <w:start w:val="1"/>
      <w:numFmt w:val="decimal"/>
      <w:lvlText w:val="%1.%2.%3.%4.%5.%6.%7.%8."/>
      <w:lvlJc w:val="left"/>
      <w:pPr>
        <w:tabs>
          <w:tab w:val="num" w:pos="0"/>
        </w:tabs>
        <w:ind w:left="3240" w:hanging="360"/>
      </w:pPr>
    </w:lvl>
    <w:lvl w:ilvl="8">
      <w:start w:val="1"/>
      <w:numFmt w:val="decimal"/>
      <w:lvlText w:val="%1.%2.%3.%4.%5.%6.%7.%8.%9."/>
      <w:lvlJc w:val="left"/>
      <w:pPr>
        <w:tabs>
          <w:tab w:val="num" w:pos="0"/>
        </w:tabs>
        <w:ind w:left="3600" w:hanging="360"/>
      </w:pPr>
    </w:lvl>
  </w:abstractNum>
  <w:abstractNum w:abstractNumId="2" w15:restartNumberingAfterBreak="0">
    <w:nsid w:val="0000000D"/>
    <w:multiLevelType w:val="multilevel"/>
    <w:tmpl w:val="0000000D"/>
    <w:name w:val="WW8Num13"/>
    <w:lvl w:ilvl="0">
      <w:numFmt w:val="bullet"/>
      <w:lvlText w:val=""/>
      <w:lvlJc w:val="left"/>
      <w:pPr>
        <w:tabs>
          <w:tab w:val="num" w:pos="0"/>
        </w:tabs>
        <w:ind w:left="720" w:hanging="360"/>
      </w:pPr>
      <w:rPr>
        <w:rFonts w:ascii="Symbol" w:hAnsi="Symbol" w:cs="Times New Roman"/>
        <w:i w:val="0"/>
        <w:color w:val="000000"/>
      </w:rPr>
    </w:lvl>
    <w:lvl w:ilvl="1">
      <w:start w:val="1"/>
      <w:numFmt w:val="decimal"/>
      <w:lvlText w:val="%2."/>
      <w:lvlJc w:val="left"/>
      <w:pPr>
        <w:tabs>
          <w:tab w:val="num" w:pos="0"/>
        </w:tabs>
        <w:ind w:left="1080" w:hanging="360"/>
      </w:pPr>
    </w:lvl>
    <w:lvl w:ilvl="2">
      <w:start w:val="1"/>
      <w:numFmt w:val="decimal"/>
      <w:lvlText w:val="%1.%2.%3."/>
      <w:lvlJc w:val="left"/>
      <w:pPr>
        <w:tabs>
          <w:tab w:val="num" w:pos="0"/>
        </w:tabs>
        <w:ind w:left="1440" w:hanging="360"/>
      </w:pPr>
    </w:lvl>
    <w:lvl w:ilvl="3">
      <w:start w:val="1"/>
      <w:numFmt w:val="decimal"/>
      <w:lvlText w:val="%1.%2.%3.%4."/>
      <w:lvlJc w:val="left"/>
      <w:pPr>
        <w:tabs>
          <w:tab w:val="num" w:pos="0"/>
        </w:tabs>
        <w:ind w:left="1800" w:hanging="360"/>
      </w:pPr>
    </w:lvl>
    <w:lvl w:ilvl="4">
      <w:start w:val="1"/>
      <w:numFmt w:val="decimal"/>
      <w:lvlText w:val="%1.%2.%3.%4.%5."/>
      <w:lvlJc w:val="left"/>
      <w:pPr>
        <w:tabs>
          <w:tab w:val="num" w:pos="0"/>
        </w:tabs>
        <w:ind w:left="2160" w:hanging="360"/>
      </w:pPr>
    </w:lvl>
    <w:lvl w:ilvl="5">
      <w:start w:val="1"/>
      <w:numFmt w:val="decimal"/>
      <w:lvlText w:val="%1.%2.%3.%4.%5.%6."/>
      <w:lvlJc w:val="left"/>
      <w:pPr>
        <w:tabs>
          <w:tab w:val="num" w:pos="0"/>
        </w:tabs>
        <w:ind w:left="2520" w:hanging="360"/>
      </w:pPr>
    </w:lvl>
    <w:lvl w:ilvl="6">
      <w:start w:val="1"/>
      <w:numFmt w:val="decimal"/>
      <w:lvlText w:val="%1.%2.%3.%4.%5.%6.%7."/>
      <w:lvlJc w:val="left"/>
      <w:pPr>
        <w:tabs>
          <w:tab w:val="num" w:pos="0"/>
        </w:tabs>
        <w:ind w:left="2880" w:hanging="360"/>
      </w:pPr>
    </w:lvl>
    <w:lvl w:ilvl="7">
      <w:start w:val="1"/>
      <w:numFmt w:val="decimal"/>
      <w:lvlText w:val="%1.%2.%3.%4.%5.%6.%7.%8."/>
      <w:lvlJc w:val="left"/>
      <w:pPr>
        <w:tabs>
          <w:tab w:val="num" w:pos="0"/>
        </w:tabs>
        <w:ind w:left="3240" w:hanging="360"/>
      </w:pPr>
    </w:lvl>
    <w:lvl w:ilvl="8">
      <w:start w:val="1"/>
      <w:numFmt w:val="decimal"/>
      <w:lvlText w:val="%1.%2.%3.%4.%5.%6.%7.%8.%9."/>
      <w:lvlJc w:val="left"/>
      <w:pPr>
        <w:tabs>
          <w:tab w:val="num" w:pos="0"/>
        </w:tabs>
        <w:ind w:left="3600" w:hanging="360"/>
      </w:pPr>
    </w:lvl>
  </w:abstractNum>
  <w:abstractNum w:abstractNumId="3" w15:restartNumberingAfterBreak="0">
    <w:nsid w:val="22764B05"/>
    <w:multiLevelType w:val="hybridMultilevel"/>
    <w:tmpl w:val="29FE3E7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2D507FC"/>
    <w:multiLevelType w:val="hybridMultilevel"/>
    <w:tmpl w:val="DF64C186"/>
    <w:lvl w:ilvl="0" w:tplc="9F04F6CE">
      <w:start w:val="1"/>
      <w:numFmt w:val="lowerLetter"/>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5" w15:restartNumberingAfterBreak="0">
    <w:nsid w:val="3D797B32"/>
    <w:multiLevelType w:val="hybridMultilevel"/>
    <w:tmpl w:val="DDEE721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CFB7367"/>
    <w:multiLevelType w:val="hybridMultilevel"/>
    <w:tmpl w:val="EEC6D0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5819737E"/>
    <w:multiLevelType w:val="hybridMultilevel"/>
    <w:tmpl w:val="E102BAC4"/>
    <w:lvl w:ilvl="0" w:tplc="93A8179C">
      <w:start w:val="3"/>
      <w:numFmt w:val="upperRoman"/>
      <w:lvlText w:val="%1."/>
      <w:lvlJc w:val="left"/>
      <w:pPr>
        <w:tabs>
          <w:tab w:val="num" w:pos="1080"/>
        </w:tabs>
        <w:ind w:left="1080" w:hanging="7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5AFF2555"/>
    <w:multiLevelType w:val="hybridMultilevel"/>
    <w:tmpl w:val="9BBAA0D6"/>
    <w:lvl w:ilvl="0" w:tplc="7C1A51B2">
      <w:start w:val="1"/>
      <w:numFmt w:val="upperRoman"/>
      <w:lvlText w:val="%1."/>
      <w:lvlJc w:val="left"/>
      <w:pPr>
        <w:tabs>
          <w:tab w:val="num" w:pos="1080"/>
        </w:tabs>
        <w:ind w:left="1080" w:hanging="7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692B668E"/>
    <w:multiLevelType w:val="hybridMultilevel"/>
    <w:tmpl w:val="DF64C186"/>
    <w:lvl w:ilvl="0" w:tplc="9F04F6CE">
      <w:start w:val="1"/>
      <w:numFmt w:val="lowerLetter"/>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0" w15:restartNumberingAfterBreak="0">
    <w:nsid w:val="7CFB0839"/>
    <w:multiLevelType w:val="hybridMultilevel"/>
    <w:tmpl w:val="60586770"/>
    <w:lvl w:ilvl="0" w:tplc="75BAFD5C">
      <w:start w:val="1"/>
      <w:numFmt w:val="decimal"/>
      <w:lvlText w:val="%1)"/>
      <w:lvlJc w:val="left"/>
      <w:pPr>
        <w:ind w:left="765" w:hanging="4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33050263">
    <w:abstractNumId w:val="8"/>
  </w:num>
  <w:num w:numId="2" w16cid:durableId="1123230572">
    <w:abstractNumId w:val="7"/>
  </w:num>
  <w:num w:numId="3" w16cid:durableId="743449978">
    <w:abstractNumId w:val="10"/>
  </w:num>
  <w:num w:numId="4" w16cid:durableId="1079213795">
    <w:abstractNumId w:val="3"/>
  </w:num>
  <w:num w:numId="5" w16cid:durableId="823161620">
    <w:abstractNumId w:val="5"/>
  </w:num>
  <w:num w:numId="6" w16cid:durableId="1508400503">
    <w:abstractNumId w:val="4"/>
  </w:num>
  <w:num w:numId="7" w16cid:durableId="28916745">
    <w:abstractNumId w:val="6"/>
  </w:num>
  <w:num w:numId="8" w16cid:durableId="255598410">
    <w:abstractNumId w:val="9"/>
  </w:num>
  <w:num w:numId="9" w16cid:durableId="1727070581">
    <w:abstractNumId w:val="0"/>
  </w:num>
  <w:num w:numId="10" w16cid:durableId="142580575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994168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1C22"/>
    <w:rsid w:val="000362A1"/>
    <w:rsid w:val="000B1EDB"/>
    <w:rsid w:val="000C5FD3"/>
    <w:rsid w:val="00110283"/>
    <w:rsid w:val="0012739C"/>
    <w:rsid w:val="0014057D"/>
    <w:rsid w:val="00143535"/>
    <w:rsid w:val="001447F7"/>
    <w:rsid w:val="00181C91"/>
    <w:rsid w:val="001D6AF7"/>
    <w:rsid w:val="001E1665"/>
    <w:rsid w:val="00203216"/>
    <w:rsid w:val="002E16C6"/>
    <w:rsid w:val="003178A3"/>
    <w:rsid w:val="003669F6"/>
    <w:rsid w:val="00397174"/>
    <w:rsid w:val="003C753A"/>
    <w:rsid w:val="003F7E75"/>
    <w:rsid w:val="00413018"/>
    <w:rsid w:val="004460C4"/>
    <w:rsid w:val="00494424"/>
    <w:rsid w:val="004F26D3"/>
    <w:rsid w:val="00500F60"/>
    <w:rsid w:val="005107B8"/>
    <w:rsid w:val="00564C68"/>
    <w:rsid w:val="005C4D9B"/>
    <w:rsid w:val="005C5144"/>
    <w:rsid w:val="005F17E8"/>
    <w:rsid w:val="005F24D7"/>
    <w:rsid w:val="0060621B"/>
    <w:rsid w:val="006177CF"/>
    <w:rsid w:val="00702D13"/>
    <w:rsid w:val="00732DCD"/>
    <w:rsid w:val="00744C82"/>
    <w:rsid w:val="00773893"/>
    <w:rsid w:val="007A1A8C"/>
    <w:rsid w:val="007A7871"/>
    <w:rsid w:val="007D4331"/>
    <w:rsid w:val="007E222B"/>
    <w:rsid w:val="007E3E4D"/>
    <w:rsid w:val="007F577D"/>
    <w:rsid w:val="00825B17"/>
    <w:rsid w:val="0087771C"/>
    <w:rsid w:val="0089140F"/>
    <w:rsid w:val="008F667A"/>
    <w:rsid w:val="00920895"/>
    <w:rsid w:val="00921952"/>
    <w:rsid w:val="009343E8"/>
    <w:rsid w:val="00934C07"/>
    <w:rsid w:val="00952F99"/>
    <w:rsid w:val="00972BD7"/>
    <w:rsid w:val="009E3AD9"/>
    <w:rsid w:val="00A34C14"/>
    <w:rsid w:val="00A66287"/>
    <w:rsid w:val="00A80C58"/>
    <w:rsid w:val="00A85871"/>
    <w:rsid w:val="00AE6E25"/>
    <w:rsid w:val="00B12A89"/>
    <w:rsid w:val="00B25391"/>
    <w:rsid w:val="00B5282F"/>
    <w:rsid w:val="00C05345"/>
    <w:rsid w:val="00C13ECE"/>
    <w:rsid w:val="00C61580"/>
    <w:rsid w:val="00C77197"/>
    <w:rsid w:val="00CB0BC1"/>
    <w:rsid w:val="00CB0C2A"/>
    <w:rsid w:val="00CF10B0"/>
    <w:rsid w:val="00D16531"/>
    <w:rsid w:val="00D32277"/>
    <w:rsid w:val="00D3685B"/>
    <w:rsid w:val="00D45FD0"/>
    <w:rsid w:val="00DA050B"/>
    <w:rsid w:val="00DB530F"/>
    <w:rsid w:val="00DD3CDD"/>
    <w:rsid w:val="00DE55D2"/>
    <w:rsid w:val="00E65EE2"/>
    <w:rsid w:val="00E911E1"/>
    <w:rsid w:val="00EA1C22"/>
    <w:rsid w:val="00EB3429"/>
    <w:rsid w:val="00ED7883"/>
    <w:rsid w:val="00EF0C78"/>
    <w:rsid w:val="00EF63EF"/>
    <w:rsid w:val="00F32286"/>
    <w:rsid w:val="00F36B89"/>
    <w:rsid w:val="00F37F84"/>
    <w:rsid w:val="00F52E68"/>
    <w:rsid w:val="00F7275E"/>
    <w:rsid w:val="00FB304F"/>
    <w:rsid w:val="00FB5B11"/>
    <w:rsid w:val="00FC0CDD"/>
    <w:rsid w:val="00FD12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CDA9A"/>
  <w15:chartTrackingRefBased/>
  <w15:docId w15:val="{D8C9FB49-C198-45FE-A3EB-74D89ECEC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A1C2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A1C22"/>
  </w:style>
  <w:style w:type="paragraph" w:styleId="Tekstprzypisudolnego">
    <w:name w:val="footnote text"/>
    <w:basedOn w:val="Normalny"/>
    <w:link w:val="TekstprzypisudolnegoZnak"/>
    <w:uiPriority w:val="99"/>
    <w:semiHidden/>
    <w:unhideWhenUsed/>
    <w:rsid w:val="00EA1C2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A1C22"/>
    <w:rPr>
      <w:sz w:val="20"/>
      <w:szCs w:val="20"/>
    </w:rPr>
  </w:style>
  <w:style w:type="character" w:styleId="Odwoanieprzypisudolnego">
    <w:name w:val="footnote reference"/>
    <w:uiPriority w:val="99"/>
    <w:semiHidden/>
    <w:rsid w:val="00EA1C22"/>
    <w:rPr>
      <w:rFonts w:cs="Times New Roman"/>
      <w:vertAlign w:val="superscript"/>
    </w:rPr>
  </w:style>
  <w:style w:type="paragraph" w:styleId="Akapitzlist">
    <w:name w:val="List Paragraph"/>
    <w:basedOn w:val="Normalny"/>
    <w:uiPriority w:val="34"/>
    <w:qFormat/>
    <w:rsid w:val="00EA1C22"/>
    <w:pPr>
      <w:widowControl w:val="0"/>
      <w:autoSpaceDE w:val="0"/>
      <w:autoSpaceDN w:val="0"/>
      <w:adjustRightInd w:val="0"/>
      <w:spacing w:after="0" w:line="360" w:lineRule="auto"/>
      <w:ind w:left="720"/>
      <w:contextualSpacing/>
    </w:pPr>
    <w:rPr>
      <w:rFonts w:ascii="Times New Roman" w:eastAsia="Times New Roman" w:hAnsi="Times New Roman" w:cs="Arial"/>
      <w:sz w:val="24"/>
      <w:szCs w:val="20"/>
      <w:lang w:eastAsia="pl-PL"/>
    </w:rPr>
  </w:style>
  <w:style w:type="table" w:customStyle="1" w:styleId="Tabela-Siatka111">
    <w:name w:val="Tabela - Siatka111"/>
    <w:basedOn w:val="Standardowy"/>
    <w:next w:val="Tabela-Siatka"/>
    <w:rsid w:val="00EA1C22"/>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a">
    <w:name w:val="Table Grid"/>
    <w:basedOn w:val="Standardowy"/>
    <w:uiPriority w:val="39"/>
    <w:rsid w:val="00EA1C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EA1C2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A1C22"/>
  </w:style>
  <w:style w:type="paragraph" w:styleId="Tekstdymka">
    <w:name w:val="Balloon Text"/>
    <w:basedOn w:val="Normalny"/>
    <w:link w:val="TekstdymkaZnak"/>
    <w:uiPriority w:val="99"/>
    <w:semiHidden/>
    <w:unhideWhenUsed/>
    <w:rsid w:val="007E3E4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E3E4D"/>
    <w:rPr>
      <w:rFonts w:ascii="Segoe UI" w:hAnsi="Segoe UI" w:cs="Segoe UI"/>
      <w:sz w:val="18"/>
      <w:szCs w:val="18"/>
    </w:rPr>
  </w:style>
  <w:style w:type="table" w:customStyle="1" w:styleId="TableGrid">
    <w:name w:val="TableGrid"/>
    <w:rsid w:val="00EF0C78"/>
    <w:pPr>
      <w:spacing w:after="0" w:line="240" w:lineRule="auto"/>
    </w:pPr>
    <w:rPr>
      <w:rFonts w:ascii="Calibri" w:eastAsia="Times New Roman" w:hAnsi="Calibri" w:cs="Times New Roman"/>
      <w:lang w:eastAsia="pl-PL"/>
    </w:rPr>
    <w:tblPr>
      <w:tblCellMar>
        <w:top w:w="0" w:type="dxa"/>
        <w:left w:w="0" w:type="dxa"/>
        <w:bottom w:w="0" w:type="dxa"/>
        <w:right w:w="0" w:type="dxa"/>
      </w:tblCellMar>
    </w:tblPr>
  </w:style>
  <w:style w:type="paragraph" w:styleId="Tekstprzypisukocowego">
    <w:name w:val="endnote text"/>
    <w:basedOn w:val="Normalny"/>
    <w:link w:val="TekstprzypisukocowegoZnak"/>
    <w:uiPriority w:val="99"/>
    <w:semiHidden/>
    <w:unhideWhenUsed/>
    <w:rsid w:val="00D45FD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D45FD0"/>
    <w:rPr>
      <w:sz w:val="20"/>
      <w:szCs w:val="20"/>
    </w:rPr>
  </w:style>
  <w:style w:type="character" w:styleId="Odwoanieprzypisukocowego">
    <w:name w:val="endnote reference"/>
    <w:basedOn w:val="Domylnaczcionkaakapitu"/>
    <w:uiPriority w:val="99"/>
    <w:semiHidden/>
    <w:unhideWhenUsed/>
    <w:rsid w:val="00D45FD0"/>
    <w:rPr>
      <w:vertAlign w:val="superscript"/>
    </w:rPr>
  </w:style>
  <w:style w:type="character" w:styleId="Odwoaniedokomentarza">
    <w:name w:val="annotation reference"/>
    <w:basedOn w:val="Domylnaczcionkaakapitu"/>
    <w:uiPriority w:val="99"/>
    <w:semiHidden/>
    <w:unhideWhenUsed/>
    <w:rsid w:val="00D45FD0"/>
    <w:rPr>
      <w:sz w:val="16"/>
      <w:szCs w:val="16"/>
    </w:rPr>
  </w:style>
  <w:style w:type="paragraph" w:styleId="Tekstkomentarza">
    <w:name w:val="annotation text"/>
    <w:basedOn w:val="Normalny"/>
    <w:link w:val="TekstkomentarzaZnak"/>
    <w:uiPriority w:val="99"/>
    <w:semiHidden/>
    <w:unhideWhenUsed/>
    <w:rsid w:val="00D45FD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45FD0"/>
    <w:rPr>
      <w:sz w:val="20"/>
      <w:szCs w:val="20"/>
    </w:rPr>
  </w:style>
  <w:style w:type="paragraph" w:styleId="Tematkomentarza">
    <w:name w:val="annotation subject"/>
    <w:basedOn w:val="Tekstkomentarza"/>
    <w:next w:val="Tekstkomentarza"/>
    <w:link w:val="TematkomentarzaZnak"/>
    <w:uiPriority w:val="99"/>
    <w:semiHidden/>
    <w:unhideWhenUsed/>
    <w:rsid w:val="00D45FD0"/>
    <w:rPr>
      <w:b/>
      <w:bCs/>
    </w:rPr>
  </w:style>
  <w:style w:type="character" w:customStyle="1" w:styleId="TematkomentarzaZnak">
    <w:name w:val="Temat komentarza Znak"/>
    <w:basedOn w:val="TekstkomentarzaZnak"/>
    <w:link w:val="Tematkomentarza"/>
    <w:uiPriority w:val="99"/>
    <w:semiHidden/>
    <w:rsid w:val="00D45FD0"/>
    <w:rPr>
      <w:b/>
      <w:bCs/>
      <w:sz w:val="20"/>
      <w:szCs w:val="20"/>
    </w:rPr>
  </w:style>
  <w:style w:type="paragraph" w:customStyle="1" w:styleId="Default">
    <w:name w:val="Default"/>
    <w:rsid w:val="00A85871"/>
    <w:pPr>
      <w:autoSpaceDE w:val="0"/>
      <w:autoSpaceDN w:val="0"/>
      <w:adjustRightInd w:val="0"/>
      <w:spacing w:after="0" w:line="240" w:lineRule="auto"/>
    </w:pPr>
    <w:rPr>
      <w:rFonts w:ascii="Times New Roman" w:hAnsi="Times New Roman" w:cs="Times New Roman"/>
      <w:color w:val="000000"/>
      <w:sz w:val="24"/>
      <w:szCs w:val="24"/>
    </w:rPr>
  </w:style>
  <w:style w:type="character" w:styleId="Hipercze">
    <w:name w:val="Hyperlink"/>
    <w:basedOn w:val="Domylnaczcionkaakapitu"/>
    <w:uiPriority w:val="99"/>
    <w:unhideWhenUsed/>
    <w:rsid w:val="003178A3"/>
    <w:rPr>
      <w:color w:val="0563C1" w:themeColor="hyperlink"/>
      <w:u w:val="single"/>
    </w:rPr>
  </w:style>
  <w:style w:type="character" w:styleId="Nierozpoznanawzmianka">
    <w:name w:val="Unresolved Mention"/>
    <w:basedOn w:val="Domylnaczcionkaakapitu"/>
    <w:uiPriority w:val="99"/>
    <w:semiHidden/>
    <w:unhideWhenUsed/>
    <w:rsid w:val="003178A3"/>
    <w:rPr>
      <w:color w:val="605E5C"/>
      <w:shd w:val="clear" w:color="auto" w:fill="E1DFDD"/>
    </w:rPr>
  </w:style>
  <w:style w:type="character" w:customStyle="1" w:styleId="Domylnaczcionkaakapitu1">
    <w:name w:val="Domyślna czcionka akapitu1"/>
    <w:rsid w:val="005F24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11416">
      <w:bodyDiv w:val="1"/>
      <w:marLeft w:val="0"/>
      <w:marRight w:val="0"/>
      <w:marTop w:val="0"/>
      <w:marBottom w:val="0"/>
      <w:divBdr>
        <w:top w:val="none" w:sz="0" w:space="0" w:color="auto"/>
        <w:left w:val="none" w:sz="0" w:space="0" w:color="auto"/>
        <w:bottom w:val="none" w:sz="0" w:space="0" w:color="auto"/>
        <w:right w:val="none" w:sz="0" w:space="0" w:color="auto"/>
      </w:divBdr>
    </w:div>
    <w:div w:id="50228983">
      <w:bodyDiv w:val="1"/>
      <w:marLeft w:val="0"/>
      <w:marRight w:val="0"/>
      <w:marTop w:val="0"/>
      <w:marBottom w:val="0"/>
      <w:divBdr>
        <w:top w:val="none" w:sz="0" w:space="0" w:color="auto"/>
        <w:left w:val="none" w:sz="0" w:space="0" w:color="auto"/>
        <w:bottom w:val="none" w:sz="0" w:space="0" w:color="auto"/>
        <w:right w:val="none" w:sz="0" w:space="0" w:color="auto"/>
      </w:divBdr>
    </w:div>
    <w:div w:id="175734629">
      <w:bodyDiv w:val="1"/>
      <w:marLeft w:val="0"/>
      <w:marRight w:val="0"/>
      <w:marTop w:val="0"/>
      <w:marBottom w:val="0"/>
      <w:divBdr>
        <w:top w:val="none" w:sz="0" w:space="0" w:color="auto"/>
        <w:left w:val="none" w:sz="0" w:space="0" w:color="auto"/>
        <w:bottom w:val="none" w:sz="0" w:space="0" w:color="auto"/>
        <w:right w:val="none" w:sz="0" w:space="0" w:color="auto"/>
      </w:divBdr>
    </w:div>
    <w:div w:id="61934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g.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4FD4F-4DF3-4DD1-93BB-7EF2B59BA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5181</Words>
  <Characters>31086</Characters>
  <Application>Microsoft Office Word</Application>
  <DocSecurity>0</DocSecurity>
  <Lines>259</Lines>
  <Paragraphs>72</Paragraphs>
  <ScaleCrop>false</ScaleCrop>
  <HeadingPairs>
    <vt:vector size="2" baseType="variant">
      <vt:variant>
        <vt:lpstr>Tytuł</vt:lpstr>
      </vt:variant>
      <vt:variant>
        <vt:i4>1</vt:i4>
      </vt:variant>
    </vt:vector>
  </HeadingPairs>
  <TitlesOfParts>
    <vt:vector size="1" baseType="lpstr">
      <vt:lpstr/>
    </vt:vector>
  </TitlesOfParts>
  <Company>Kancelaria Prezesa Rady Ministrow</Company>
  <LinksUpToDate>false</LinksUpToDate>
  <CharactersWithSpaces>36195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Pietrzak Ewa</dc:creator>
  <cp:keywords/>
  <dc:description/>
  <cp:lastModifiedBy>Alicja Maj</cp:lastModifiedBy>
  <cp:revision>4</cp:revision>
  <dcterms:created xsi:type="dcterms:W3CDTF">2026-01-12T18:03:00Z</dcterms:created>
  <dcterms:modified xsi:type="dcterms:W3CDTF">2026-01-12T18:07:00Z</dcterms:modified>
</cp:coreProperties>
</file>